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蒲江县中医医院</w:t>
      </w:r>
    </w:p>
    <w:p>
      <w:pPr>
        <w:jc w:val="center"/>
        <w:rPr>
          <w:rFonts w:hint="eastAsia"/>
          <w:b/>
          <w:bCs/>
          <w:sz w:val="44"/>
          <w:szCs w:val="44"/>
        </w:rPr>
      </w:pPr>
      <w:r>
        <w:rPr>
          <w:rFonts w:hint="eastAsia"/>
          <w:b/>
          <w:bCs/>
          <w:sz w:val="44"/>
          <w:szCs w:val="44"/>
        </w:rPr>
        <w:t>关于心功能无创检测</w:t>
      </w:r>
      <w:r>
        <w:rPr>
          <w:rFonts w:hint="eastAsia"/>
          <w:b/>
          <w:bCs/>
          <w:sz w:val="44"/>
          <w:szCs w:val="44"/>
          <w:lang w:val="en-US" w:eastAsia="zh-CN"/>
        </w:rPr>
        <w:t>分析</w:t>
      </w:r>
      <w:r>
        <w:rPr>
          <w:rFonts w:hint="eastAsia"/>
          <w:b/>
          <w:bCs/>
          <w:sz w:val="44"/>
          <w:szCs w:val="44"/>
        </w:rPr>
        <w:t>仪等医疗设备的</w:t>
      </w:r>
    </w:p>
    <w:p>
      <w:pPr>
        <w:jc w:val="center"/>
        <w:rPr>
          <w:rFonts w:hint="eastAsia"/>
          <w:b/>
          <w:bCs/>
          <w:sz w:val="44"/>
          <w:szCs w:val="44"/>
        </w:rPr>
      </w:pPr>
      <w:r>
        <w:rPr>
          <w:rFonts w:hint="eastAsia"/>
          <w:b/>
          <w:bCs/>
          <w:sz w:val="44"/>
          <w:szCs w:val="44"/>
        </w:rPr>
        <w:t>医用耗材市场调查项目的公告</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各位供应商及厂家：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为了进一步提高医疗服务质量，我院拟对心功能无创检测</w:t>
      </w:r>
      <w:r>
        <w:rPr>
          <w:rFonts w:hint="eastAsia" w:asciiTheme="minorEastAsia" w:hAnsiTheme="minorEastAsia" w:cstheme="minorEastAsia"/>
          <w:sz w:val="32"/>
          <w:szCs w:val="32"/>
          <w:lang w:eastAsia="zh-CN"/>
        </w:rPr>
        <w:t>分析</w:t>
      </w:r>
      <w:r>
        <w:rPr>
          <w:rFonts w:hint="eastAsia" w:asciiTheme="minorEastAsia" w:hAnsiTheme="minorEastAsia" w:eastAsiaTheme="minorEastAsia" w:cstheme="minorEastAsia"/>
          <w:sz w:val="32"/>
          <w:szCs w:val="32"/>
        </w:rPr>
        <w:t>仪等医疗设备医用耗材，面向社会公开市场调查，诚邀具有供货资质的供应商及厂家参加本次市场调查。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一、资质要求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1、供应商需提供公司的《企业法人营业执照》、《组织机构代码证》、《医疗器械经营企业许可证》、《税务登记证》。以及公司法人对业务员的委托授权书、业务员的身份证复印件（盖鲜章）。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2、提供所供产品生产厂商的《企业法人营业执照》、《组织机构代码证》、《医疗器械生产企业许可证》、《税务登记证》、《医疗器械注册证》、《医疗器械产品注册登记表》等。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二、投标文件的要求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投标文件需将资质文件及报价目录按医院提供模板（详见附件），各一式一份，用牛皮纸袋密封装订递交。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三、此次市场调查将作为医院公平、公正、公开采购医用耗材的重要依据。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四</w:t>
      </w:r>
      <w:r>
        <w:rPr>
          <w:rFonts w:hint="eastAsia" w:asciiTheme="minorEastAsia" w:hAnsiTheme="minorEastAsia" w:eastAsiaTheme="minorEastAsia" w:cstheme="minorEastAsia"/>
          <w:sz w:val="32"/>
          <w:szCs w:val="32"/>
        </w:rPr>
        <w:t>、其它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投标文件报送方式：现场投递，不接受邮寄。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收件地址及科室：成都市蒲江县鹤山镇飞虎路159号,蒲江县中医医院设备科。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报名咨询电话：028-88556205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报名截止时间：2022年</w:t>
      </w:r>
      <w:r>
        <w:rPr>
          <w:rFonts w:hint="eastAsia" w:asciiTheme="minorEastAsia" w:hAnsiTheme="minorEastAsia" w:cstheme="minorEastAsia"/>
          <w:sz w:val="32"/>
          <w:szCs w:val="32"/>
          <w:lang w:val="en-US" w:eastAsia="zh-CN"/>
        </w:rPr>
        <w:t>12</w:t>
      </w:r>
      <w:r>
        <w:rPr>
          <w:rFonts w:hint="eastAsia" w:asciiTheme="minorEastAsia" w:hAnsiTheme="minorEastAsia" w:eastAsiaTheme="minorEastAsia" w:cstheme="minorEastAsia"/>
          <w:sz w:val="32"/>
          <w:szCs w:val="32"/>
        </w:rPr>
        <w:t>月</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日 17:00截止（节假日除外）。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投标文件收取时间：2022年11月25日至2022年</w:t>
      </w:r>
      <w:r>
        <w:rPr>
          <w:rFonts w:hint="eastAsia" w:asciiTheme="minorEastAsia" w:hAnsiTheme="minorEastAsia" w:cstheme="minorEastAsia"/>
          <w:sz w:val="32"/>
          <w:szCs w:val="32"/>
          <w:lang w:val="en-US" w:eastAsia="zh-CN"/>
        </w:rPr>
        <w:t>12</w:t>
      </w:r>
      <w:r>
        <w:rPr>
          <w:rFonts w:hint="eastAsia" w:asciiTheme="minorEastAsia" w:hAnsiTheme="minorEastAsia" w:eastAsiaTheme="minorEastAsia" w:cstheme="minorEastAsia"/>
          <w:sz w:val="32"/>
          <w:szCs w:val="32"/>
        </w:rPr>
        <w:t>月</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日17:00截止（节假日除外）。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附件：蒲江县中医医院心功能无创检测分析仪等医疗设备的医用耗材市场调查报价目录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right="1126" w:rightChars="536" w:firstLine="640" w:firstLineChars="200"/>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蒲江县中医医院 </w:t>
      </w:r>
    </w:p>
    <w:p>
      <w:pPr>
        <w:keepNext w:val="0"/>
        <w:keepLines w:val="0"/>
        <w:pageBreakBefore w:val="0"/>
        <w:widowControl w:val="0"/>
        <w:kinsoku/>
        <w:wordWrap/>
        <w:overflowPunct/>
        <w:topLinePunct w:val="0"/>
        <w:autoSpaceDE/>
        <w:autoSpaceDN/>
        <w:bidi w:val="0"/>
        <w:adjustRightInd/>
        <w:snapToGrid/>
        <w:ind w:right="1260" w:rightChars="600" w:firstLine="4800" w:firstLineChars="1500"/>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2022年11月25日</w:t>
      </w: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蒲江县中医医院</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心功能无创检测分析仪等医疗设备的医用耗材市场调查报价目录</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tbl>
      <w:tblPr>
        <w:tblStyle w:val="5"/>
        <w:tblW w:w="14475" w:type="dxa"/>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015"/>
        <w:gridCol w:w="780"/>
        <w:gridCol w:w="900"/>
        <w:gridCol w:w="2580"/>
        <w:gridCol w:w="1530"/>
        <w:gridCol w:w="1440"/>
        <w:gridCol w:w="148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序号</w:t>
            </w:r>
          </w:p>
        </w:tc>
        <w:tc>
          <w:tcPr>
            <w:tcW w:w="301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名称</w:t>
            </w: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单位</w:t>
            </w:r>
          </w:p>
        </w:tc>
        <w:tc>
          <w:tcPr>
            <w:tcW w:w="90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规格</w:t>
            </w:r>
          </w:p>
        </w:tc>
        <w:tc>
          <w:tcPr>
            <w:tcW w:w="258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生产厂家</w:t>
            </w:r>
          </w:p>
        </w:tc>
        <w:tc>
          <w:tcPr>
            <w:tcW w:w="297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价格（元）</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是否挂网及产品ID</w:t>
            </w:r>
          </w:p>
        </w:tc>
        <w:tc>
          <w:tcPr>
            <w:tcW w:w="195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9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90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258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最小规格</w:t>
            </w:r>
          </w:p>
        </w:tc>
        <w:tc>
          <w:tcPr>
            <w:tcW w:w="144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包装规格</w:t>
            </w: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sz w:val="28"/>
                <w:szCs w:val="28"/>
                <w:vertAlign w:val="baseline"/>
                <w:lang w:val="en-US" w:eastAsia="zh-CN"/>
              </w:rPr>
            </w:pP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1</w:t>
            </w:r>
          </w:p>
        </w:tc>
        <w:tc>
          <w:tcPr>
            <w:tcW w:w="30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一次性使用心电电极</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片</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25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144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心功能无创检测分析仪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2</w:t>
            </w:r>
          </w:p>
        </w:tc>
        <w:tc>
          <w:tcPr>
            <w:tcW w:w="30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华文仿宋" w:hAnsi="华文仿宋" w:eastAsia="华文仿宋" w:cs="华文仿宋"/>
                <w:kern w:val="2"/>
                <w:sz w:val="28"/>
                <w:szCs w:val="28"/>
                <w:vertAlign w:val="baseline"/>
                <w:lang w:val="en-US" w:eastAsia="zh-CN" w:bidi="ar-SA"/>
              </w:rPr>
            </w:pPr>
            <w:r>
              <w:rPr>
                <w:rFonts w:hint="eastAsia" w:ascii="华文仿宋" w:hAnsi="华文仿宋" w:eastAsia="华文仿宋" w:cs="华文仿宋"/>
                <w:kern w:val="2"/>
                <w:sz w:val="28"/>
                <w:szCs w:val="28"/>
                <w:vertAlign w:val="baseline"/>
                <w:lang w:val="en-US" w:eastAsia="zh-CN" w:bidi="ar-SA"/>
              </w:rPr>
              <w:t>呼吸管路</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r>
              <w:rPr>
                <w:rFonts w:hint="eastAsia" w:ascii="华文仿宋" w:hAnsi="华文仿宋" w:eastAsia="华文仿宋" w:cs="华文仿宋"/>
                <w:kern w:val="2"/>
                <w:sz w:val="28"/>
                <w:szCs w:val="28"/>
                <w:vertAlign w:val="baseline"/>
                <w:lang w:val="en-US" w:eastAsia="zh-CN" w:bidi="ar-SA"/>
              </w:rPr>
              <w:t>套</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p>
        </w:tc>
        <w:tc>
          <w:tcPr>
            <w:tcW w:w="25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p>
        </w:tc>
        <w:tc>
          <w:tcPr>
            <w:tcW w:w="15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p>
        </w:tc>
        <w:tc>
          <w:tcPr>
            <w:tcW w:w="144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kern w:val="2"/>
                <w:sz w:val="28"/>
                <w:szCs w:val="28"/>
                <w:vertAlign w:val="baseline"/>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呼吸湿化治疗仪</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30"/>
          <w:szCs w:val="30"/>
          <w:vertAlign w:val="baseline"/>
          <w:lang w:val="en-US" w:eastAsia="zh-CN"/>
        </w:rPr>
      </w:pPr>
      <w:r>
        <w:rPr>
          <w:rFonts w:hint="eastAsia" w:asciiTheme="majorEastAsia" w:hAnsiTheme="majorEastAsia" w:eastAsiaTheme="majorEastAsia" w:cstheme="majorEastAsia"/>
          <w:b/>
          <w:bCs/>
          <w:sz w:val="30"/>
          <w:szCs w:val="30"/>
          <w:vertAlign w:val="baseline"/>
          <w:lang w:val="en-US" w:eastAsia="zh-CN"/>
        </w:rPr>
        <w:t>备注：</w:t>
      </w:r>
    </w:p>
    <w:p>
      <w:pPr>
        <w:keepNext w:val="0"/>
        <w:keepLines w:val="0"/>
        <w:pageBreakBefore w:val="0"/>
        <w:widowControl w:val="0"/>
        <w:kinsoku/>
        <w:wordWrap/>
        <w:overflowPunct/>
        <w:topLinePunct w:val="0"/>
        <w:autoSpaceDE/>
        <w:autoSpaceDN/>
        <w:bidi w:val="0"/>
        <w:adjustRightInd/>
        <w:snapToGrid/>
        <w:textAlignment w:val="auto"/>
        <w:rPr>
          <w:rFonts w:hint="default" w:asciiTheme="majorEastAsia" w:hAnsiTheme="majorEastAsia" w:eastAsiaTheme="majorEastAsia" w:cstheme="majorEastAsia"/>
          <w:b/>
          <w:bCs/>
          <w:sz w:val="30"/>
          <w:szCs w:val="30"/>
          <w:vertAlign w:val="baseline"/>
          <w:lang w:val="en-US" w:eastAsia="zh-CN"/>
        </w:rPr>
      </w:pPr>
      <w:r>
        <w:rPr>
          <w:rFonts w:hint="eastAsia" w:asciiTheme="majorEastAsia" w:hAnsiTheme="majorEastAsia" w:eastAsiaTheme="majorEastAsia" w:cstheme="majorEastAsia"/>
          <w:b/>
          <w:bCs/>
          <w:sz w:val="30"/>
          <w:szCs w:val="30"/>
          <w:vertAlign w:val="baseline"/>
          <w:lang w:val="en-US" w:eastAsia="zh-CN"/>
        </w:rPr>
        <w:t>医疗设备的基本情况：</w:t>
      </w:r>
    </w:p>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vertAlign w:val="baseline"/>
          <w:lang w:val="en-US" w:eastAsia="zh-CN"/>
        </w:rPr>
        <w:t>1、设备名称：心功能无创检测分析仪；规格型号：</w:t>
      </w:r>
      <w:r>
        <w:rPr>
          <w:rFonts w:hint="eastAsia" w:asciiTheme="majorEastAsia" w:hAnsiTheme="majorEastAsia" w:eastAsiaTheme="majorEastAsia" w:cstheme="majorEastAsia"/>
          <w:b/>
          <w:bCs/>
          <w:sz w:val="30"/>
          <w:szCs w:val="30"/>
        </w:rPr>
        <w:t>KF_ICG-101</w:t>
      </w:r>
      <w:r>
        <w:rPr>
          <w:rFonts w:hint="eastAsia" w:asciiTheme="majorEastAsia" w:hAnsiTheme="majorEastAsia" w:eastAsiaTheme="majorEastAsia" w:cstheme="majorEastAsia"/>
          <w:b/>
          <w:bCs/>
          <w:sz w:val="30"/>
          <w:szCs w:val="30"/>
          <w:lang w:val="en-US" w:eastAsia="zh-CN"/>
        </w:rPr>
        <w:t>；生产厂家：</w:t>
      </w:r>
      <w:r>
        <w:rPr>
          <w:rFonts w:hint="eastAsia" w:asciiTheme="majorEastAsia" w:hAnsiTheme="majorEastAsia" w:eastAsiaTheme="majorEastAsia" w:cstheme="majorEastAsia"/>
          <w:b/>
          <w:bCs/>
          <w:sz w:val="30"/>
          <w:szCs w:val="30"/>
        </w:rPr>
        <w:t>重庆科发医疗器械有限</w:t>
      </w:r>
      <w:r>
        <w:rPr>
          <w:rFonts w:hint="eastAsia" w:asciiTheme="majorEastAsia" w:hAnsiTheme="majorEastAsia" w:eastAsiaTheme="majorEastAsia" w:cstheme="majorEastAsia"/>
          <w:b/>
          <w:bCs/>
          <w:sz w:val="30"/>
          <w:szCs w:val="30"/>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2、设备名称：</w:t>
      </w:r>
      <w:r>
        <w:rPr>
          <w:rFonts w:hint="eastAsia" w:asciiTheme="majorEastAsia" w:hAnsiTheme="majorEastAsia" w:eastAsiaTheme="majorEastAsia" w:cstheme="majorEastAsia"/>
          <w:b/>
          <w:bCs/>
          <w:color w:val="000000" w:themeColor="text1"/>
          <w:sz w:val="30"/>
          <w:szCs w:val="30"/>
          <w14:textFill>
            <w14:solidFill>
              <w14:schemeClr w14:val="tx1"/>
            </w14:solidFill>
          </w14:textFill>
        </w:rPr>
        <w:t>呼吸湿化治疗仪</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；规格型号：</w:t>
      </w:r>
      <w:r>
        <w:rPr>
          <w:rFonts w:hint="eastAsia" w:asciiTheme="majorEastAsia" w:hAnsiTheme="majorEastAsia" w:eastAsiaTheme="majorEastAsia" w:cstheme="majorEastAsia"/>
          <w:b/>
          <w:bCs/>
          <w:sz w:val="30"/>
          <w:szCs w:val="30"/>
        </w:rPr>
        <w:t>HF807C</w:t>
      </w:r>
      <w:r>
        <w:rPr>
          <w:rFonts w:hint="eastAsia" w:asciiTheme="majorEastAsia" w:hAnsiTheme="majorEastAsia" w:eastAsiaTheme="majorEastAsia" w:cstheme="majorEastAsia"/>
          <w:b/>
          <w:bCs/>
          <w:sz w:val="30"/>
          <w:szCs w:val="30"/>
          <w:lang w:val="en-US" w:eastAsia="zh-CN"/>
        </w:rPr>
        <w:t>；生产厂家：</w:t>
      </w:r>
      <w:r>
        <w:rPr>
          <w:rFonts w:hint="eastAsia" w:asciiTheme="majorEastAsia" w:hAnsiTheme="majorEastAsia" w:eastAsiaTheme="majorEastAsia" w:cstheme="majorEastAsia"/>
          <w:b/>
          <w:bCs/>
          <w:sz w:val="30"/>
          <w:szCs w:val="30"/>
        </w:rPr>
        <w:t>广州鲸科医疗科技有限公司</w:t>
      </w:r>
      <w:r>
        <w:rPr>
          <w:rFonts w:hint="eastAsia" w:asciiTheme="majorEastAsia" w:hAnsiTheme="majorEastAsia" w:eastAsiaTheme="majorEastAsia" w:cstheme="majorEastAsia"/>
          <w:b/>
          <w:bCs/>
          <w:sz w:val="30"/>
          <w:szCs w:val="30"/>
          <w:lang w:eastAsia="zh-CN"/>
        </w:rPr>
        <w:t>。</w:t>
      </w:r>
    </w:p>
    <w:sectPr>
      <w:headerReference r:id="rId3" w:type="default"/>
      <w:footerReference r:id="rId4" w:type="default"/>
      <w:pgSz w:w="16838" w:h="11906" w:orient="landscape"/>
      <w:pgMar w:top="1236" w:right="1440" w:bottom="123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33687EB2"/>
    <w:rsid w:val="418E0E9C"/>
    <w:rsid w:val="44846903"/>
    <w:rsid w:val="74014EF0"/>
    <w:rsid w:val="7936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762</Words>
  <Characters>818</Characters>
  <Lines>0</Lines>
  <Paragraphs>0</Paragraphs>
  <TotalTime>3</TotalTime>
  <ScaleCrop>false</ScaleCrop>
  <LinksUpToDate>false</LinksUpToDate>
  <CharactersWithSpaces>847</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2022-11-25T00:05:00Z</dcterms:created>
  <dc:creator>HP</dc:creator>
  <cp:lastModifiedBy>HP</cp:lastModifiedBy>
  <dcterms:modified xsi:type="dcterms:W3CDTF">2022-11-25T01:58:56Z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0FECE96E2A1E4EB98C9B7281BB217DAD</vt:lpwstr>
  </property>
</Properties>
</file>