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rPr>
          <w:rFonts w:cs="方正小标宋_GBK" w:asciiTheme="minorEastAsia" w:hAnsiTheme="minorEastAsia"/>
          <w:color w:val="000000"/>
          <w:kern w:val="0"/>
          <w:sz w:val="36"/>
          <w:szCs w:val="36"/>
        </w:rPr>
      </w:pPr>
    </w:p>
    <w:p>
      <w:pPr>
        <w:numPr>
          <w:ilvl w:val="0"/>
          <w:numId w:val="0"/>
        </w:numPr>
        <w:tabs>
          <w:tab w:val="left" w:pos="0"/>
        </w:tabs>
        <w:spacing w:line="52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蒲江县中医医院</w:t>
      </w:r>
    </w:p>
    <w:p>
      <w:pPr>
        <w:numPr>
          <w:ilvl w:val="0"/>
          <w:numId w:val="0"/>
        </w:numPr>
        <w:tabs>
          <w:tab w:val="left" w:pos="0"/>
        </w:tabs>
        <w:spacing w:line="52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电梯维护保养服务项目公告</w:t>
      </w:r>
    </w:p>
    <w:p>
      <w:pPr>
        <w:pStyle w:val="2"/>
        <w:ind w:firstLine="3600" w:firstLineChars="1000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36"/>
          <w:szCs w:val="36"/>
          <w:lang w:val="en-US" w:eastAsia="zh-CN"/>
        </w:rPr>
        <w:t>（第二次）</w:t>
      </w:r>
    </w:p>
    <w:p>
      <w:pPr>
        <w:snapToGrid w:val="0"/>
        <w:spacing w:line="500" w:lineRule="exact"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蒲江县中医医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</w:t>
      </w:r>
      <w:r>
        <w:rPr>
          <w:rFonts w:asciiTheme="minorEastAsia" w:hAnsiTheme="minorEastAsia"/>
          <w:color w:val="auto"/>
          <w:sz w:val="28"/>
          <w:szCs w:val="28"/>
        </w:rPr>
        <w:t>拟对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蒲江县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中医医院电梯维护保养服务项目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）（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编号：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PJZY-202308-SBK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）”</w:t>
      </w:r>
      <w:r>
        <w:rPr>
          <w:rFonts w:hint="eastAsia" w:asciiTheme="minorEastAsia" w:hAnsiTheme="minorEastAsia"/>
          <w:color w:val="auto"/>
          <w:sz w:val="28"/>
          <w:szCs w:val="28"/>
        </w:rPr>
        <w:t>进行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询价采购</w:t>
      </w:r>
      <w:r>
        <w:rPr>
          <w:rFonts w:asciiTheme="minorEastAsia" w:hAnsiTheme="minorEastAsia"/>
          <w:color w:val="auto"/>
          <w:sz w:val="28"/>
          <w:szCs w:val="28"/>
        </w:rPr>
        <w:t>，</w:t>
      </w:r>
      <w:r>
        <w:rPr>
          <w:rFonts w:cs="宋体" w:asciiTheme="minorEastAsia" w:hAnsiTheme="minorEastAsia"/>
          <w:color w:val="auto"/>
          <w:kern w:val="0"/>
          <w:sz w:val="28"/>
          <w:szCs w:val="28"/>
        </w:rPr>
        <w:t>现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诚</w:t>
      </w:r>
      <w:r>
        <w:rPr>
          <w:rFonts w:cs="宋体" w:asciiTheme="minorEastAsia" w:hAnsiTheme="minorEastAsia"/>
          <w:color w:val="auto"/>
          <w:kern w:val="0"/>
          <w:sz w:val="28"/>
          <w:szCs w:val="28"/>
        </w:rPr>
        <w:t>邀符合相关条件的供应商前来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参与。</w:t>
      </w:r>
    </w:p>
    <w:p>
      <w:pPr>
        <w:pStyle w:val="30"/>
        <w:numPr>
          <w:ilvl w:val="0"/>
          <w:numId w:val="2"/>
        </w:numPr>
        <w:snapToGrid w:val="0"/>
        <w:spacing w:line="288" w:lineRule="auto"/>
        <w:ind w:firstLineChars="0"/>
        <w:rPr>
          <w:rFonts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项目内容要求：</w:t>
      </w:r>
    </w:p>
    <w:p>
      <w:pPr>
        <w:pStyle w:val="30"/>
        <w:numPr>
          <w:ilvl w:val="0"/>
          <w:numId w:val="0"/>
        </w:numPr>
        <w:snapToGrid w:val="0"/>
        <w:spacing w:line="288" w:lineRule="auto"/>
        <w:ind w:left="560" w:leftChars="0"/>
        <w:rPr>
          <w:rFonts w:hint="eastAsia" w:cs="宋体" w:asciiTheme="minorEastAsia" w:hAnsiTheme="minorEastAsia" w:eastAsiaTheme="minorEastAsia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）共一个包。</w:t>
      </w:r>
    </w:p>
    <w:p>
      <w:pPr>
        <w:pStyle w:val="30"/>
        <w:numPr>
          <w:ilvl w:val="0"/>
          <w:numId w:val="0"/>
        </w:numPr>
        <w:snapToGrid w:val="0"/>
        <w:spacing w:line="288" w:lineRule="auto"/>
        <w:ind w:left="560" w:leftChars="0"/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）维保电梯清单：</w:t>
      </w:r>
    </w:p>
    <w:tbl>
      <w:tblPr>
        <w:tblStyle w:val="1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93"/>
        <w:gridCol w:w="1589"/>
        <w:gridCol w:w="1571"/>
        <w:gridCol w:w="15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rPr>
                <w:bCs/>
                <w:color w:val="auto"/>
                <w:sz w:val="28"/>
                <w:szCs w:val="32"/>
              </w:rPr>
            </w:pPr>
            <w:r>
              <w:rPr>
                <w:rFonts w:hint="eastAsia"/>
                <w:bCs/>
                <w:color w:val="auto"/>
                <w:sz w:val="28"/>
                <w:szCs w:val="32"/>
              </w:rPr>
              <w:t>序号</w:t>
            </w:r>
          </w:p>
        </w:tc>
        <w:tc>
          <w:tcPr>
            <w:tcW w:w="2293" w:type="dxa"/>
          </w:tcPr>
          <w:p>
            <w:pPr>
              <w:rPr>
                <w:bCs/>
                <w:color w:val="auto"/>
                <w:sz w:val="28"/>
                <w:szCs w:val="32"/>
              </w:rPr>
            </w:pPr>
            <w:r>
              <w:rPr>
                <w:rFonts w:hint="eastAsia"/>
                <w:bCs/>
                <w:color w:val="auto"/>
                <w:sz w:val="28"/>
                <w:szCs w:val="32"/>
              </w:rPr>
              <w:t>电梯品牌</w:t>
            </w:r>
          </w:p>
        </w:tc>
        <w:tc>
          <w:tcPr>
            <w:tcW w:w="1589" w:type="dxa"/>
          </w:tcPr>
          <w:p>
            <w:pPr>
              <w:rPr>
                <w:bCs/>
                <w:color w:val="auto"/>
                <w:sz w:val="28"/>
                <w:szCs w:val="32"/>
              </w:rPr>
            </w:pPr>
            <w:r>
              <w:rPr>
                <w:rFonts w:hint="eastAsia"/>
                <w:bCs/>
                <w:color w:val="auto"/>
                <w:sz w:val="28"/>
                <w:szCs w:val="32"/>
              </w:rPr>
              <w:t>载重</w:t>
            </w:r>
          </w:p>
        </w:tc>
        <w:tc>
          <w:tcPr>
            <w:tcW w:w="1571" w:type="dxa"/>
          </w:tcPr>
          <w:p>
            <w:pPr>
              <w:rPr>
                <w:bCs/>
                <w:color w:val="auto"/>
                <w:sz w:val="28"/>
                <w:szCs w:val="32"/>
              </w:rPr>
            </w:pPr>
            <w:r>
              <w:rPr>
                <w:rFonts w:hint="eastAsia"/>
                <w:bCs/>
                <w:color w:val="auto"/>
                <w:sz w:val="28"/>
                <w:szCs w:val="32"/>
              </w:rPr>
              <w:t>梯层</w:t>
            </w:r>
          </w:p>
        </w:tc>
        <w:tc>
          <w:tcPr>
            <w:tcW w:w="1572" w:type="dxa"/>
          </w:tcPr>
          <w:p>
            <w:pPr>
              <w:rPr>
                <w:bCs/>
                <w:color w:val="auto"/>
                <w:sz w:val="28"/>
                <w:szCs w:val="32"/>
              </w:rPr>
            </w:pPr>
            <w:r>
              <w:rPr>
                <w:rFonts w:hint="eastAsia"/>
                <w:bCs/>
                <w:color w:val="auto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5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门诊楼1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auto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5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门诊楼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2#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auto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35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3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门诊楼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eastAsiaTheme="minorEastAsia"/>
                <w:bCs/>
                <w:color w:val="auto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6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住院部1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auto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6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住院部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2#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eastAsiaTheme="minorEastAsia"/>
                <w:bCs/>
                <w:color w:val="auto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2000kg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6</w:t>
            </w: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8"/>
                <w:szCs w:val="32"/>
                <w:highlight w:val="none"/>
              </w:rPr>
              <w:t>住院部3</w:t>
            </w:r>
            <w:r>
              <w:rPr>
                <w:rFonts w:cs="Times New Roman"/>
                <w:bCs/>
                <w:color w:val="auto"/>
                <w:sz w:val="28"/>
                <w:szCs w:val="32"/>
                <w:highlight w:val="none"/>
              </w:rPr>
              <w:t>#</w:t>
            </w:r>
          </w:p>
        </w:tc>
      </w:tr>
    </w:tbl>
    <w:p>
      <w:pPr>
        <w:pStyle w:val="30"/>
        <w:snapToGrid w:val="0"/>
        <w:spacing w:line="288" w:lineRule="auto"/>
        <w:ind w:firstLine="560"/>
        <w:rPr>
          <w:rFonts w:cs="宋体" w:asciiTheme="minorEastAsia" w:hAnsiTheme="minorEastAsia"/>
          <w:color w:val="auto"/>
          <w:kern w:val="0"/>
          <w:sz w:val="28"/>
          <w:szCs w:val="28"/>
          <w:highlight w:val="none"/>
        </w:rPr>
      </w:pPr>
    </w:p>
    <w:p>
      <w:pPr>
        <w:pStyle w:val="30"/>
        <w:numPr>
          <w:ilvl w:val="0"/>
          <w:numId w:val="0"/>
        </w:numPr>
        <w:snapToGrid w:val="0"/>
        <w:spacing w:line="288" w:lineRule="auto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项目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限价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：</w:t>
      </w:r>
    </w:p>
    <w:p>
      <w:pPr>
        <w:pStyle w:val="30"/>
        <w:numPr>
          <w:ilvl w:val="0"/>
          <w:numId w:val="0"/>
        </w:numPr>
        <w:snapToGrid w:val="0"/>
        <w:spacing w:line="288" w:lineRule="auto"/>
        <w:ind w:firstLine="560" w:firstLineChars="200"/>
        <w:rPr>
          <w:rFonts w:hint="eastAsia" w:cs="宋体" w:asciiTheme="minorEastAsia" w:hAnsiTheme="minorEastAsia" w:eastAsiaTheme="minorEastAsia"/>
          <w:b w:val="0"/>
          <w:bCs w:val="0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项目最高限价：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28"/>
          <w:szCs w:val="28"/>
          <w:highlight w:val="none"/>
        </w:rPr>
        <w:t>25800元/年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超过限价的报价为无效报价。</w:t>
      </w:r>
    </w:p>
    <w:p>
      <w:pPr>
        <w:widowControl/>
        <w:spacing w:line="500" w:lineRule="exact"/>
        <w:ind w:firstLine="562" w:firstLineChars="2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二、供应商资质要求：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合格的供应商应首先符合政府采购法第二十二条规定的基本条件，同时符合根据该项目特殊要求设置的特定资格条件。</w:t>
      </w:r>
    </w:p>
    <w:p>
      <w:pPr>
        <w:widowControl/>
        <w:spacing w:line="500" w:lineRule="exact"/>
        <w:ind w:firstLine="562" w:firstLineChars="2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（一）基本资质条件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1．具有独立承担民事责任的能力（提供承诺函）；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2．具有良好的商业信誉和健全的财务会计制度；（提供财务报表或承诺函）；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3．具有履行合同所必须的设备和专业技术能力（提供承诺函）；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4．有依法缴纳税收和社会保障资金的良好记录；（附服务人员养老保险复印件或提供承诺函）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5．近三年内在参加政府采购活动中无重大违法记录（提供承诺函）。</w:t>
      </w:r>
    </w:p>
    <w:p>
      <w:pPr>
        <w:widowControl/>
        <w:spacing w:line="500" w:lineRule="exact"/>
        <w:ind w:firstLine="562" w:firstLineChars="2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（二）特定资格条件：</w:t>
      </w:r>
    </w:p>
    <w:p>
      <w:pPr>
        <w:widowControl/>
        <w:spacing w:line="500" w:lineRule="exact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1. 供应商必须取得《中华人民共和国特种设备生产许可证》，许可项目须有电梯安装（含修理）内容。（加盖投标人公章）。</w:t>
      </w:r>
    </w:p>
    <w:p>
      <w:pPr>
        <w:widowControl/>
        <w:spacing w:line="500" w:lineRule="exact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2.拟派技术负责人须具备电梯维修或修理的资格证明。（加盖投标人公章）。</w:t>
      </w:r>
    </w:p>
    <w:p>
      <w:pPr>
        <w:widowControl/>
        <w:spacing w:line="50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报名时间、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获取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方式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（一）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报名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时间期限：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自2023年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日至2023年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17:00止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instrText xml:space="preserve"> HYPERLINK "mailto:报名时间期限内填写《院内询价采购报名及投标文件收取登记表》并将发送到指定的QQ邮箱（531103026@qq.com" </w:instrTex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报名时间期限内填写《院内询价采购报名及投标文件收取登记表》（附件1）并将发送到指定的QQ邮箱（531103026@qq.com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），以邮箱收到邮件的时间为有效报名时间。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（二）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文件获取方式：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经初审报名表通过的商家，将在2023年9月1日17：00前以邮件的方式向报名商家发送询价文件（报名商家若没有收到询价文件，请及时与医院设备科联系,电话：88556205，若未联系，将视同收到询价文件）。</w:t>
      </w:r>
    </w:p>
    <w:p>
      <w:pPr>
        <w:spacing w:line="480" w:lineRule="exact"/>
        <w:ind w:firstLine="562" w:firstLineChars="200"/>
        <w:rPr>
          <w:rFonts w:hint="default" w:cs="宋体" w:asciiTheme="minorEastAsia" w:hAnsiTheme="minorEastAsia" w:eastAsia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开标时间、地点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评标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时间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地点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开标时间、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地点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：2023年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上午10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时00分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行政三楼会议室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申请文件必须在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开标时间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送达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地点。逾期送达或密封和标注不符合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文件规定的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申请文件恕不接受。本次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不接受邮寄的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评标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地点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：另行确定。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联系方式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采购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人：蒲江县中医医院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    址：蒲江县鹤山街道飞虎路159号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 系 人：王老师  陈老师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联系电话：028-88556205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附件1：蒲江县中医医院院内询价采购报名及投标文件收取登记表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          2023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</w:p>
    <w:p>
      <w:pPr>
        <w:spacing w:line="480" w:lineRule="exact"/>
        <w:ind w:firstLine="560" w:firstLineChars="200"/>
        <w:rPr>
          <w:rFonts w:hint="default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558" w:bottom="1418" w:left="1560" w:header="851" w:footer="6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9103206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33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228E618C"/>
    <w:multiLevelType w:val="multilevel"/>
    <w:tmpl w:val="228E618C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ZWY5MTI1NmUzZTA2MWQ3ODM2YWZmODk4NTA4ODcifQ=="/>
  </w:docVars>
  <w:rsids>
    <w:rsidRoot w:val="001C42CD"/>
    <w:rsid w:val="00013EAE"/>
    <w:rsid w:val="0002174D"/>
    <w:rsid w:val="000563BA"/>
    <w:rsid w:val="0006141E"/>
    <w:rsid w:val="000769C4"/>
    <w:rsid w:val="0009754F"/>
    <w:rsid w:val="000B17B6"/>
    <w:rsid w:val="000B4535"/>
    <w:rsid w:val="000B4BFD"/>
    <w:rsid w:val="000C4228"/>
    <w:rsid w:val="000F2EDA"/>
    <w:rsid w:val="00100549"/>
    <w:rsid w:val="0010626B"/>
    <w:rsid w:val="0011029A"/>
    <w:rsid w:val="0012102B"/>
    <w:rsid w:val="001314AA"/>
    <w:rsid w:val="00131FA9"/>
    <w:rsid w:val="001419D5"/>
    <w:rsid w:val="001523B4"/>
    <w:rsid w:val="001555EA"/>
    <w:rsid w:val="00166169"/>
    <w:rsid w:val="00166CB5"/>
    <w:rsid w:val="001909D8"/>
    <w:rsid w:val="001C42CD"/>
    <w:rsid w:val="001D2D78"/>
    <w:rsid w:val="001D60E3"/>
    <w:rsid w:val="001D6C68"/>
    <w:rsid w:val="001E5978"/>
    <w:rsid w:val="00205296"/>
    <w:rsid w:val="00214DBD"/>
    <w:rsid w:val="00231308"/>
    <w:rsid w:val="00232021"/>
    <w:rsid w:val="0023220D"/>
    <w:rsid w:val="00260098"/>
    <w:rsid w:val="00266359"/>
    <w:rsid w:val="002C0EE7"/>
    <w:rsid w:val="002C75E3"/>
    <w:rsid w:val="002F282A"/>
    <w:rsid w:val="00305BC3"/>
    <w:rsid w:val="0032663E"/>
    <w:rsid w:val="003377E0"/>
    <w:rsid w:val="00351B7A"/>
    <w:rsid w:val="003621E6"/>
    <w:rsid w:val="003728C3"/>
    <w:rsid w:val="0037399F"/>
    <w:rsid w:val="00375121"/>
    <w:rsid w:val="003B4B2E"/>
    <w:rsid w:val="003C2E58"/>
    <w:rsid w:val="003C7A31"/>
    <w:rsid w:val="003F49E7"/>
    <w:rsid w:val="004000FF"/>
    <w:rsid w:val="00400194"/>
    <w:rsid w:val="0040566B"/>
    <w:rsid w:val="00405A8B"/>
    <w:rsid w:val="00407230"/>
    <w:rsid w:val="0041413B"/>
    <w:rsid w:val="00472FCA"/>
    <w:rsid w:val="00476E2A"/>
    <w:rsid w:val="00495901"/>
    <w:rsid w:val="004A4FA7"/>
    <w:rsid w:val="004B2FEE"/>
    <w:rsid w:val="004B5589"/>
    <w:rsid w:val="004C7789"/>
    <w:rsid w:val="004D1ADE"/>
    <w:rsid w:val="004D3506"/>
    <w:rsid w:val="004D7A47"/>
    <w:rsid w:val="004E1804"/>
    <w:rsid w:val="004E54C1"/>
    <w:rsid w:val="004E7765"/>
    <w:rsid w:val="00516C56"/>
    <w:rsid w:val="00517487"/>
    <w:rsid w:val="00561998"/>
    <w:rsid w:val="0056200C"/>
    <w:rsid w:val="005629AD"/>
    <w:rsid w:val="0056513F"/>
    <w:rsid w:val="0057707E"/>
    <w:rsid w:val="005A7FA6"/>
    <w:rsid w:val="005B317A"/>
    <w:rsid w:val="005C0114"/>
    <w:rsid w:val="005D660C"/>
    <w:rsid w:val="005F0966"/>
    <w:rsid w:val="005F1132"/>
    <w:rsid w:val="00602B63"/>
    <w:rsid w:val="00606D50"/>
    <w:rsid w:val="00664B96"/>
    <w:rsid w:val="00671831"/>
    <w:rsid w:val="00671F88"/>
    <w:rsid w:val="00677564"/>
    <w:rsid w:val="00680510"/>
    <w:rsid w:val="006B16BF"/>
    <w:rsid w:val="006C395C"/>
    <w:rsid w:val="006F0EBA"/>
    <w:rsid w:val="00705EAC"/>
    <w:rsid w:val="00710585"/>
    <w:rsid w:val="00725E4A"/>
    <w:rsid w:val="0072729A"/>
    <w:rsid w:val="00760401"/>
    <w:rsid w:val="0077498D"/>
    <w:rsid w:val="00783414"/>
    <w:rsid w:val="007A7E18"/>
    <w:rsid w:val="007B0DB5"/>
    <w:rsid w:val="007D185C"/>
    <w:rsid w:val="007E251A"/>
    <w:rsid w:val="007E567C"/>
    <w:rsid w:val="008153A4"/>
    <w:rsid w:val="00824C58"/>
    <w:rsid w:val="0083720E"/>
    <w:rsid w:val="00874105"/>
    <w:rsid w:val="008A0499"/>
    <w:rsid w:val="008A6243"/>
    <w:rsid w:val="008B2DDD"/>
    <w:rsid w:val="008E65B8"/>
    <w:rsid w:val="008F2AAF"/>
    <w:rsid w:val="008F53C8"/>
    <w:rsid w:val="009114C6"/>
    <w:rsid w:val="00913996"/>
    <w:rsid w:val="00915BC7"/>
    <w:rsid w:val="00921037"/>
    <w:rsid w:val="009256C9"/>
    <w:rsid w:val="00930C61"/>
    <w:rsid w:val="00931B96"/>
    <w:rsid w:val="00946DD8"/>
    <w:rsid w:val="00952DC3"/>
    <w:rsid w:val="009758FA"/>
    <w:rsid w:val="00982D70"/>
    <w:rsid w:val="009915D1"/>
    <w:rsid w:val="009963EF"/>
    <w:rsid w:val="009B42DF"/>
    <w:rsid w:val="009B65E0"/>
    <w:rsid w:val="009C6BDF"/>
    <w:rsid w:val="009D6B85"/>
    <w:rsid w:val="00A07969"/>
    <w:rsid w:val="00A3571A"/>
    <w:rsid w:val="00A66169"/>
    <w:rsid w:val="00A75656"/>
    <w:rsid w:val="00A923E8"/>
    <w:rsid w:val="00A94470"/>
    <w:rsid w:val="00AA0130"/>
    <w:rsid w:val="00AA4CFB"/>
    <w:rsid w:val="00AA71A4"/>
    <w:rsid w:val="00AD1467"/>
    <w:rsid w:val="00B07171"/>
    <w:rsid w:val="00B203F0"/>
    <w:rsid w:val="00B21982"/>
    <w:rsid w:val="00B234D8"/>
    <w:rsid w:val="00B479B9"/>
    <w:rsid w:val="00B551B5"/>
    <w:rsid w:val="00B572B2"/>
    <w:rsid w:val="00B701F4"/>
    <w:rsid w:val="00B8218A"/>
    <w:rsid w:val="00B8790A"/>
    <w:rsid w:val="00BA73E1"/>
    <w:rsid w:val="00BE476D"/>
    <w:rsid w:val="00BF6238"/>
    <w:rsid w:val="00C15B5E"/>
    <w:rsid w:val="00C160BE"/>
    <w:rsid w:val="00C26561"/>
    <w:rsid w:val="00C427F8"/>
    <w:rsid w:val="00C77598"/>
    <w:rsid w:val="00C972D7"/>
    <w:rsid w:val="00CD0C70"/>
    <w:rsid w:val="00D07C4A"/>
    <w:rsid w:val="00D25A1D"/>
    <w:rsid w:val="00D265BA"/>
    <w:rsid w:val="00D41210"/>
    <w:rsid w:val="00D448DC"/>
    <w:rsid w:val="00D619DC"/>
    <w:rsid w:val="00D83A0A"/>
    <w:rsid w:val="00D9729F"/>
    <w:rsid w:val="00DA3BC7"/>
    <w:rsid w:val="00DD2735"/>
    <w:rsid w:val="00DF78A9"/>
    <w:rsid w:val="00E0165E"/>
    <w:rsid w:val="00E052C9"/>
    <w:rsid w:val="00E110E6"/>
    <w:rsid w:val="00E16352"/>
    <w:rsid w:val="00E44B7D"/>
    <w:rsid w:val="00E47C6C"/>
    <w:rsid w:val="00E776BA"/>
    <w:rsid w:val="00E8219B"/>
    <w:rsid w:val="00E85972"/>
    <w:rsid w:val="00E90F32"/>
    <w:rsid w:val="00E940BA"/>
    <w:rsid w:val="00EC59C3"/>
    <w:rsid w:val="00EE5450"/>
    <w:rsid w:val="00EF2DFF"/>
    <w:rsid w:val="00EF5A78"/>
    <w:rsid w:val="00EF7AD5"/>
    <w:rsid w:val="00F11939"/>
    <w:rsid w:val="00F14360"/>
    <w:rsid w:val="00F17152"/>
    <w:rsid w:val="00F273D6"/>
    <w:rsid w:val="00F30716"/>
    <w:rsid w:val="00F50A21"/>
    <w:rsid w:val="00F51C3D"/>
    <w:rsid w:val="00F5232B"/>
    <w:rsid w:val="00F57B27"/>
    <w:rsid w:val="00F61C63"/>
    <w:rsid w:val="00F6553C"/>
    <w:rsid w:val="00F94116"/>
    <w:rsid w:val="00FA28B4"/>
    <w:rsid w:val="00FA6310"/>
    <w:rsid w:val="00FB050F"/>
    <w:rsid w:val="00FB6D0E"/>
    <w:rsid w:val="00FC4C12"/>
    <w:rsid w:val="00FF5B00"/>
    <w:rsid w:val="00FF77F6"/>
    <w:rsid w:val="014572F3"/>
    <w:rsid w:val="021A6DE9"/>
    <w:rsid w:val="022B4D62"/>
    <w:rsid w:val="05505BE6"/>
    <w:rsid w:val="05ED5819"/>
    <w:rsid w:val="08482B1F"/>
    <w:rsid w:val="0981112F"/>
    <w:rsid w:val="098D0B43"/>
    <w:rsid w:val="0C58175F"/>
    <w:rsid w:val="0D2E0C21"/>
    <w:rsid w:val="0D8D7916"/>
    <w:rsid w:val="0E6D22EC"/>
    <w:rsid w:val="0F5A1981"/>
    <w:rsid w:val="10912ED1"/>
    <w:rsid w:val="111356E4"/>
    <w:rsid w:val="114F379A"/>
    <w:rsid w:val="1BD33130"/>
    <w:rsid w:val="1E0F37F1"/>
    <w:rsid w:val="201D783C"/>
    <w:rsid w:val="26A90068"/>
    <w:rsid w:val="2A2A077B"/>
    <w:rsid w:val="30E776ED"/>
    <w:rsid w:val="33A45AC9"/>
    <w:rsid w:val="34307E80"/>
    <w:rsid w:val="36055C43"/>
    <w:rsid w:val="36BB1389"/>
    <w:rsid w:val="36D23F3B"/>
    <w:rsid w:val="39D504AF"/>
    <w:rsid w:val="3AAF1923"/>
    <w:rsid w:val="3C291B40"/>
    <w:rsid w:val="3C350829"/>
    <w:rsid w:val="3F077A8C"/>
    <w:rsid w:val="3FFD6CD9"/>
    <w:rsid w:val="410B7D0E"/>
    <w:rsid w:val="41BA7442"/>
    <w:rsid w:val="42A653BA"/>
    <w:rsid w:val="46AD37AE"/>
    <w:rsid w:val="49D77577"/>
    <w:rsid w:val="49E817E1"/>
    <w:rsid w:val="4B4A3DA3"/>
    <w:rsid w:val="4EAA6232"/>
    <w:rsid w:val="502923BF"/>
    <w:rsid w:val="506962B7"/>
    <w:rsid w:val="51037E7B"/>
    <w:rsid w:val="54BE51CF"/>
    <w:rsid w:val="55AA6B17"/>
    <w:rsid w:val="56721C1C"/>
    <w:rsid w:val="59FF3493"/>
    <w:rsid w:val="5A8630BF"/>
    <w:rsid w:val="5C1A5170"/>
    <w:rsid w:val="5DB6403F"/>
    <w:rsid w:val="648A46E4"/>
    <w:rsid w:val="6E573888"/>
    <w:rsid w:val="6FE13259"/>
    <w:rsid w:val="70090933"/>
    <w:rsid w:val="718235F7"/>
    <w:rsid w:val="719D1E57"/>
    <w:rsid w:val="75157F36"/>
    <w:rsid w:val="75EE7FDA"/>
    <w:rsid w:val="78AC5584"/>
    <w:rsid w:val="7B774B44"/>
    <w:rsid w:val="7B9E39A8"/>
    <w:rsid w:val="7CD15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pPr>
      <w:widowControl/>
      <w:spacing w:line="579" w:lineRule="exact"/>
    </w:pPr>
    <w:rPr>
      <w:rFonts w:ascii="宋体" w:hAnsi="宋体" w:eastAsia="宋体" w:cs="宋体"/>
      <w:snapToGrid w:val="0"/>
      <w:sz w:val="29"/>
      <w:szCs w:val="29"/>
      <w:lang w:val="zh-CN" w:bidi="zh-CN"/>
    </w:rPr>
  </w:style>
  <w:style w:type="paragraph" w:styleId="7">
    <w:name w:val="Body Text Indent"/>
    <w:basedOn w:val="1"/>
    <w:link w:val="25"/>
    <w:qFormat/>
    <w:uiPriority w:val="0"/>
    <w:pPr>
      <w:ind w:firstLine="540"/>
    </w:pPr>
    <w:rPr>
      <w:rFonts w:ascii="Times New Roman" w:hAnsi="Times New Roman" w:eastAsia="宋体" w:cs="Times New Roman"/>
      <w:b/>
      <w:sz w:val="32"/>
      <w:szCs w:val="20"/>
    </w:rPr>
  </w:style>
  <w:style w:type="paragraph" w:styleId="8">
    <w:name w:val="Plain Text"/>
    <w:basedOn w:val="1"/>
    <w:link w:val="24"/>
    <w:qFormat/>
    <w:uiPriority w:val="99"/>
    <w:rPr>
      <w:rFonts w:ascii="宋体" w:hAnsi="Courier New" w:eastAsia="宋体"/>
    </w:rPr>
  </w:style>
  <w:style w:type="paragraph" w:styleId="9">
    <w:name w:val="Date"/>
    <w:basedOn w:val="1"/>
    <w:next w:val="1"/>
    <w:link w:val="29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0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pacing w:line="180" w:lineRule="auto"/>
      <w:jc w:val="center"/>
    </w:pPr>
    <w:rPr>
      <w:rFonts w:ascii="Times New Roman" w:hAnsi="Times New Roman" w:eastAsia="宋体" w:cs="Times New Roman"/>
      <w:sz w:val="30"/>
      <w:szCs w:val="20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</w:rPr>
  </w:style>
  <w:style w:type="table" w:styleId="15">
    <w:name w:val="Table Grid"/>
    <w:basedOn w:val="1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8">
    <w:name w:val="Normal Indent1"/>
    <w:basedOn w:val="1"/>
    <w:qFormat/>
    <w:uiPriority w:val="0"/>
    <w:pPr>
      <w:ind w:firstLine="420"/>
    </w:pPr>
    <w:rPr>
      <w:kern w:val="0"/>
      <w:szCs w:val="20"/>
    </w:rPr>
  </w:style>
  <w:style w:type="paragraph" w:customStyle="1" w:styleId="19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20">
    <w:name w:val="页眉 字符"/>
    <w:basedOn w:val="16"/>
    <w:link w:val="11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纯文本 Char"/>
    <w:basedOn w:val="16"/>
    <w:qFormat/>
    <w:uiPriority w:val="99"/>
    <w:rPr>
      <w:rFonts w:ascii="宋体" w:hAnsi="Courier New" w:eastAsia="宋体"/>
    </w:rPr>
  </w:style>
  <w:style w:type="character" w:customStyle="1" w:styleId="24">
    <w:name w:val="纯文本 字符"/>
    <w:basedOn w:val="16"/>
    <w:link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字符"/>
    <w:basedOn w:val="16"/>
    <w:link w:val="7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26">
    <w:name w:val="样式 正文（首行缩进两字） + 宋体 小四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 w:cs="Times New Roman"/>
      <w:sz w:val="32"/>
      <w:szCs w:val="20"/>
    </w:rPr>
  </w:style>
  <w:style w:type="paragraph" w:customStyle="1" w:styleId="27">
    <w:name w:val="1"/>
    <w:basedOn w:val="1"/>
    <w:next w:val="8"/>
    <w:qFormat/>
    <w:uiPriority w:val="0"/>
    <w:rPr>
      <w:rFonts w:ascii="宋体" w:hAnsi="Courier New" w:eastAsia="宋体" w:cs="Times New Roman"/>
      <w:szCs w:val="20"/>
    </w:rPr>
  </w:style>
  <w:style w:type="paragraph" w:customStyle="1" w:styleId="28">
    <w:name w:val="图例"/>
    <w:basedOn w:val="1"/>
    <w:qFormat/>
    <w:uiPriority w:val="0"/>
    <w:pPr>
      <w:spacing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character" w:customStyle="1" w:styleId="29">
    <w:name w:val="日期 字符"/>
    <w:basedOn w:val="16"/>
    <w:link w:val="9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customStyle="1" w:styleId="3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标题 2 字符"/>
    <w:basedOn w:val="16"/>
    <w:link w:val="3"/>
    <w:qFormat/>
    <w:uiPriority w:val="0"/>
    <w:rPr>
      <w:rFonts w:ascii="Arial" w:hAnsi="Arial" w:eastAsia="黑体" w:cs="Times New Roman"/>
      <w:b/>
      <w:kern w:val="2"/>
      <w:sz w:val="32"/>
    </w:rPr>
  </w:style>
  <w:style w:type="paragraph" w:customStyle="1" w:styleId="3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33">
    <w:name w:val="标题 5（有编号）（绿盟科技）"/>
    <w:basedOn w:val="1"/>
    <w:next w:val="3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570B-10B3-4B54-8380-AEA3F0473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3</Pages>
  <Words>999</Words>
  <Characters>1117</Characters>
  <Lines>83</Lines>
  <Paragraphs>23</Paragraphs>
  <TotalTime>8</TotalTime>
  <ScaleCrop>false</ScaleCrop>
  <LinksUpToDate>false</LinksUpToDate>
  <CharactersWithSpaces>1204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2023-07-17T02:45:00Z</dcterms:created>
  <dc:creator>HP</dc:creator>
  <cp:lastModifiedBy>HP</cp:lastModifiedBy>
  <cp:lastPrinted>2023-08-25T06:21:26Z</cp:lastPrinted>
  <dcterms:modified xsi:type="dcterms:W3CDTF">2023-08-25T06:22:00Z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9A09134E34AD491891C7B63165309A50_13</vt:lpwstr>
  </property>
</Properties>
</file>