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Theme="majorEastAsia" w:hAnsiTheme="majorEastAsia" w:eastAsiaTheme="majorEastAsia" w:cstheme="majorEastAsia"/>
          <w:b/>
          <w:bCs/>
          <w:i w:val="0"/>
          <w:iCs w:val="0"/>
          <w:caps w:val="0"/>
          <w:color w:val="auto"/>
          <w:spacing w:val="0"/>
          <w:kern w:val="0"/>
          <w:sz w:val="44"/>
          <w:szCs w:val="44"/>
          <w:vertAlign w:val="baseline"/>
          <w:lang w:val="en-US" w:eastAsia="zh-CN" w:bidi="ar"/>
        </w:rPr>
      </w:pPr>
      <w:r>
        <w:rPr>
          <w:rFonts w:hint="eastAsia" w:asciiTheme="majorEastAsia" w:hAnsiTheme="majorEastAsia" w:eastAsiaTheme="majorEastAsia" w:cstheme="majorEastAsia"/>
          <w:b/>
          <w:bCs/>
          <w:i w:val="0"/>
          <w:iCs w:val="0"/>
          <w:caps w:val="0"/>
          <w:color w:val="auto"/>
          <w:spacing w:val="0"/>
          <w:kern w:val="0"/>
          <w:sz w:val="44"/>
          <w:szCs w:val="44"/>
          <w:vertAlign w:val="baseline"/>
          <w:lang w:val="en-US" w:eastAsia="zh-CN" w:bidi="ar"/>
        </w:rPr>
        <w:t>蒲江县中医医院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default" w:asciiTheme="majorEastAsia" w:hAnsiTheme="majorEastAsia" w:eastAsiaTheme="majorEastAsia" w:cstheme="majorEastAsia"/>
          <w:b/>
          <w:bCs/>
          <w:i w:val="0"/>
          <w:iCs w:val="0"/>
          <w:caps w:val="0"/>
          <w:color w:val="auto"/>
          <w:spacing w:val="0"/>
          <w:sz w:val="44"/>
          <w:szCs w:val="44"/>
          <w:lang w:val="en-US"/>
        </w:rPr>
      </w:pPr>
      <w:r>
        <w:rPr>
          <w:rFonts w:hint="eastAsia" w:asciiTheme="majorEastAsia" w:hAnsiTheme="majorEastAsia" w:eastAsiaTheme="majorEastAsia" w:cstheme="majorEastAsia"/>
          <w:b/>
          <w:bCs/>
          <w:i w:val="0"/>
          <w:iCs w:val="0"/>
          <w:caps w:val="0"/>
          <w:color w:val="auto"/>
          <w:spacing w:val="0"/>
          <w:kern w:val="0"/>
          <w:sz w:val="44"/>
          <w:szCs w:val="44"/>
          <w:vertAlign w:val="baseline"/>
          <w:lang w:val="en-US" w:eastAsia="zh-CN" w:bidi="ar"/>
        </w:rPr>
        <w:t>食堂经营权采购项目（第3次）</w:t>
      </w:r>
    </w:p>
    <w:p>
      <w:pPr>
        <w:keepNext w:val="0"/>
        <w:keepLines w:val="0"/>
        <w:widowControl/>
        <w:suppressLineNumbers w:val="0"/>
        <w:jc w:val="left"/>
        <w:rPr>
          <w:rFonts w:hint="eastAsia" w:ascii="微软雅黑" w:hAnsi="微软雅黑" w:eastAsia="微软雅黑" w:cs="微软雅黑"/>
          <w:i w:val="0"/>
          <w:iCs w:val="0"/>
          <w:caps w:val="0"/>
          <w:color w:val="auto"/>
          <w:spacing w:val="0"/>
          <w:kern w:val="0"/>
          <w:sz w:val="16"/>
          <w:szCs w:val="16"/>
          <w:lang w:val="en-US" w:eastAsia="zh-CN" w:bidi="ar"/>
        </w:rPr>
      </w:pPr>
      <w:r>
        <w:rPr>
          <w:rFonts w:hint="eastAsia" w:ascii="微软雅黑" w:hAnsi="微软雅黑" w:eastAsia="微软雅黑" w:cs="微软雅黑"/>
          <w:i w:val="0"/>
          <w:iCs w:val="0"/>
          <w:caps w:val="0"/>
          <w:color w:val="auto"/>
          <w:spacing w:val="0"/>
          <w:kern w:val="0"/>
          <w:sz w:val="16"/>
          <w:szCs w:val="16"/>
          <w:lang w:val="en-US" w:eastAsia="zh-CN" w:bidi="ar"/>
        </w:rPr>
        <w:t> </w:t>
      </w:r>
      <w:r>
        <w:rPr>
          <w:rFonts w:hint="eastAsia" w:ascii="微软雅黑" w:hAnsi="微软雅黑" w:eastAsia="微软雅黑" w:cs="微软雅黑"/>
          <w:i w:val="0"/>
          <w:iCs w:val="0"/>
          <w:caps w:val="0"/>
          <w:color w:val="auto"/>
          <w:spacing w:val="0"/>
          <w:kern w:val="0"/>
          <w:sz w:val="16"/>
          <w:szCs w:val="16"/>
          <w:lang w:val="en-US" w:eastAsia="zh-CN" w:bidi="ar"/>
        </w:rPr>
        <w:br w:type="textWrapping"/>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根据工作需要，蒲江县中医医院拟对蒲江县中医医院食堂经营权（第3次）进行公开招标，现诚邀符合相关条件的供应商前来参与。</w:t>
      </w:r>
      <w:r>
        <w:rPr>
          <w:rFonts w:hint="eastAsia" w:ascii="仿宋_GB2312" w:hAnsi="仿宋_GB2312" w:eastAsia="仿宋_GB2312" w:cs="仿宋_GB2312"/>
          <w:i w:val="0"/>
          <w:iCs w:val="0"/>
          <w:caps w:val="0"/>
          <w:color w:val="auto"/>
          <w:spacing w:val="0"/>
          <w:kern w:val="0"/>
          <w:sz w:val="32"/>
          <w:szCs w:val="32"/>
          <w:lang w:val="en-US" w:eastAsia="zh-CN" w:bidi="ar"/>
        </w:rPr>
        <w:br w:type="textWrapping"/>
      </w:r>
      <w:r>
        <w:rPr>
          <w:rFonts w:hint="eastAsia" w:ascii="仿宋_GB2312" w:hAnsi="仿宋_GB2312" w:eastAsia="仿宋_GB2312" w:cs="仿宋_GB2312"/>
          <w:b/>
          <w:bCs/>
          <w:i w:val="0"/>
          <w:iCs w:val="0"/>
          <w:caps w:val="0"/>
          <w:color w:val="auto"/>
          <w:spacing w:val="0"/>
          <w:kern w:val="0"/>
          <w:sz w:val="32"/>
          <w:szCs w:val="32"/>
          <w:lang w:val="en-US" w:eastAsia="zh-CN" w:bidi="ar"/>
        </w:rPr>
        <w:t>一、项目概况</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（一）项目编号：PJZY-2025-010</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（二）项目名称：蒲江县中医医院食堂经营权采购项目（第3次）</w:t>
      </w:r>
    </w:p>
    <w:p>
      <w:pPr>
        <w:keepNext w:val="0"/>
        <w:keepLines w:val="0"/>
        <w:pageBreakBefore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（三）用餐人群：医院职工</w:t>
      </w:r>
      <w:r>
        <w:rPr>
          <w:rFonts w:hint="eastAsia" w:ascii="仿宋_GB2312" w:hAnsi="仿宋_GB2312" w:eastAsia="仿宋_GB2312" w:cs="仿宋_GB2312"/>
          <w:b w:val="0"/>
          <w:bCs w:val="0"/>
          <w:i w:val="0"/>
          <w:iCs w:val="0"/>
          <w:caps w:val="0"/>
          <w:color w:val="auto"/>
          <w:spacing w:val="0"/>
          <w:kern w:val="0"/>
          <w:sz w:val="32"/>
          <w:szCs w:val="32"/>
          <w:lang w:val="zh-CN" w:eastAsia="zh-CN" w:bidi="ar"/>
        </w:rPr>
        <w:t>、病员及病员家属。</w:t>
      </w:r>
    </w:p>
    <w:p>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（四）食堂位置及内部设施：现食堂位于</w:t>
      </w:r>
      <w:r>
        <w:rPr>
          <w:rFonts w:hint="eastAsia" w:ascii="仿宋_GB2312" w:hAnsi="仿宋_GB2312" w:eastAsia="仿宋_GB2312" w:cs="仿宋_GB2312"/>
          <w:i w:val="0"/>
          <w:iCs w:val="0"/>
          <w:caps w:val="0"/>
          <w:color w:val="auto"/>
          <w:spacing w:val="0"/>
          <w:kern w:val="0"/>
          <w:sz w:val="32"/>
          <w:szCs w:val="32"/>
          <w:lang w:val="en-US" w:eastAsia="zh-CN" w:bidi="ar"/>
        </w:rPr>
        <w:t>蒲江县鹤山街道飞虎路159号（蒲江县中医医院内），食堂面积约300多平方米。</w:t>
      </w:r>
    </w:p>
    <w:p>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（一）</w:t>
      </w:r>
      <w:r>
        <w:rPr>
          <w:rFonts w:hint="eastAsia" w:ascii="仿宋_GB2312" w:hAnsi="仿宋_GB2312" w:eastAsia="仿宋_GB2312" w:cs="仿宋_GB2312"/>
          <w:b w:val="0"/>
          <w:bCs w:val="0"/>
          <w:i w:val="0"/>
          <w:iCs w:val="0"/>
          <w:caps w:val="0"/>
          <w:color w:val="auto"/>
          <w:spacing w:val="0"/>
          <w:kern w:val="0"/>
          <w:sz w:val="32"/>
          <w:szCs w:val="32"/>
          <w:lang w:val="en-US" w:eastAsia="zh-CN" w:bidi="ar"/>
        </w:rPr>
        <w:t>现经营人可移动设备及其配置清单如下（表一）：</w:t>
      </w:r>
    </w:p>
    <w:tbl>
      <w:tblPr>
        <w:tblStyle w:val="13"/>
        <w:tblW w:w="8255" w:type="dxa"/>
        <w:tblInd w:w="-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3"/>
        <w:gridCol w:w="1050"/>
        <w:gridCol w:w="2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numPr>
                <w:ilvl w:val="0"/>
                <w:numId w:val="0"/>
              </w:numPr>
              <w:suppressLineNumbers w:val="0"/>
              <w:kinsoku/>
              <w:wordWrap/>
              <w:overflowPunct/>
              <w:topLinePunct w:val="0"/>
              <w:bidi w:val="0"/>
              <w:snapToGrid/>
              <w:ind w:firstLine="2249" w:firstLineChars="7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移动设备名称</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数量</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321" w:firstLineChars="100"/>
              <w:jc w:val="left"/>
              <w:textAlignment w:val="auto"/>
              <w:rPr>
                <w:rFonts w:hint="default"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厨房用具（蒸箱、餐盘、餐具）</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1套</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点餐系统</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1套</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空调</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2台</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（1台3P、1台5P）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灯箱</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2个</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玻璃柜</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面汤桶</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6门冰箱</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1台</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bl>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以上可移动设备的归属权为现经营人，设备转让费用约4万元（投标人自行前往评估），具体转让金额由中标人与现经营人协商处置（建议意向供应商可提前与现经营人对接协商）；若协商不成，由现经营人自行撤除，不影响本次招标工作的实施。</w:t>
      </w:r>
    </w:p>
    <w:p>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（二）</w:t>
      </w:r>
      <w:r>
        <w:rPr>
          <w:rFonts w:hint="eastAsia" w:ascii="仿宋_GB2312" w:hAnsi="仿宋_GB2312" w:eastAsia="仿宋_GB2312" w:cs="仿宋_GB2312"/>
          <w:b w:val="0"/>
          <w:bCs w:val="0"/>
          <w:i w:val="0"/>
          <w:iCs w:val="0"/>
          <w:caps w:val="0"/>
          <w:color w:val="auto"/>
          <w:spacing w:val="0"/>
          <w:kern w:val="0"/>
          <w:sz w:val="32"/>
          <w:szCs w:val="32"/>
          <w:lang w:val="en-US" w:eastAsia="zh-CN" w:bidi="ar"/>
        </w:rPr>
        <w:t>现经营人可移动设备及其配置清单如下（表二）：</w:t>
      </w:r>
    </w:p>
    <w:tbl>
      <w:tblPr>
        <w:tblStyle w:val="13"/>
        <w:tblW w:w="8280"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8"/>
        <w:gridCol w:w="967"/>
        <w:gridCol w:w="2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38" w:type="dxa"/>
            <w:tcBorders>
              <w:top w:val="single" w:color="000000" w:sz="4" w:space="0"/>
              <w:left w:val="single" w:color="000000" w:sz="4" w:space="0"/>
              <w:bottom w:val="single" w:color="auto" w:sz="4" w:space="0"/>
              <w:right w:val="single" w:color="000000" w:sz="4" w:space="0"/>
            </w:tcBorders>
            <w:shd w:val="clear" w:color="auto" w:fill="auto"/>
            <w:noWrap/>
            <w:vAlign w:val="top"/>
          </w:tcPr>
          <w:p>
            <w:pPr>
              <w:keepNext w:val="0"/>
              <w:keepLines w:val="0"/>
              <w:pageBreakBefore w:val="0"/>
              <w:widowControl/>
              <w:numPr>
                <w:ilvl w:val="0"/>
                <w:numId w:val="0"/>
              </w:numPr>
              <w:suppressLineNumbers w:val="0"/>
              <w:kinsoku/>
              <w:wordWrap/>
              <w:overflowPunct/>
              <w:topLinePunct w:val="0"/>
              <w:bidi w:val="0"/>
              <w:snapToGrid/>
              <w:ind w:firstLine="1285"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移动设备名称</w:t>
            </w:r>
          </w:p>
        </w:tc>
        <w:tc>
          <w:tcPr>
            <w:tcW w:w="967"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left="0" w:leftChars="0" w:firstLine="0" w:firstLineChars="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数量</w:t>
            </w:r>
          </w:p>
        </w:tc>
        <w:tc>
          <w:tcPr>
            <w:tcW w:w="2075"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left="0" w:leftChars="0" w:firstLine="321" w:firstLineChars="1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23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left="0" w:leftChars="0"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冰柜</w:t>
            </w:r>
          </w:p>
        </w:tc>
        <w:tc>
          <w:tcPr>
            <w:tcW w:w="967"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left="0" w:leftChars="0" w:firstLine="0" w:firstLineChars="0"/>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保险柜</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消毒柜</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油烟机</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水槽</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3个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案板</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3个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菜架</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灶台</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天然气报警装置</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1套</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灶具</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3台</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保温桶</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操作台</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2套</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油烟净化器</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1套</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热水器</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bl>
    <w:p>
      <w:pPr>
        <w:keepNext w:val="0"/>
        <w:keepLines w:val="0"/>
        <w:widowControl/>
        <w:numPr>
          <w:ilvl w:val="0"/>
          <w:numId w:val="0"/>
        </w:numPr>
        <w:suppressLineNumbers w:val="0"/>
        <w:ind w:firstLine="640" w:firstLineChars="200"/>
        <w:jc w:val="left"/>
        <w:rPr>
          <w:rFonts w:hint="eastAsia"/>
          <w:color w:val="auto"/>
          <w:lang w:val="en-US" w:eastAsia="zh-CN"/>
        </w:rPr>
      </w:pPr>
      <w:r>
        <w:rPr>
          <w:rFonts w:hint="eastAsia" w:ascii="仿宋_GB2312" w:hAnsi="仿宋_GB2312" w:eastAsia="仿宋_GB2312" w:cs="仿宋_GB2312"/>
          <w:i w:val="0"/>
          <w:iCs w:val="0"/>
          <w:caps w:val="0"/>
          <w:color w:val="auto"/>
          <w:spacing w:val="0"/>
          <w:kern w:val="0"/>
          <w:sz w:val="32"/>
          <w:szCs w:val="32"/>
          <w:lang w:val="en-US" w:eastAsia="zh-CN" w:bidi="ar"/>
        </w:rPr>
        <w:t>以上设备及配置清单的转让费用为4万元需中标人承担，具体转让金额由中标人与现经营人协商处置，4万元费用分两年折旧，每年折旧费用为2万元，折旧完成后其所有权归采购人所有（转让费用由现经营人收款，若无中标人其费用与采购人无关，可移动设备在不破坏现有建筑装修的情况下，由现经营人自行处理，不影响本次招标工作的实施。）</w:t>
      </w:r>
      <w:r>
        <w:rPr>
          <w:rFonts w:hint="eastAsia" w:ascii="仿宋_GB2312" w:hAnsi="仿宋_GB2312" w:eastAsia="仿宋_GB2312" w:cs="仿宋_GB2312"/>
          <w:b/>
          <w:bCs/>
          <w:i w:val="0"/>
          <w:iCs w:val="0"/>
          <w:caps w:val="0"/>
          <w:color w:val="auto"/>
          <w:spacing w:val="0"/>
          <w:kern w:val="0"/>
          <w:sz w:val="32"/>
          <w:szCs w:val="32"/>
          <w:lang w:val="en-US" w:eastAsia="zh-CN" w:bidi="ar"/>
        </w:rPr>
        <w:t>（供应商提供承诺函）。</w:t>
      </w:r>
    </w:p>
    <w:p>
      <w:pPr>
        <w:keepNext w:val="0"/>
        <w:keepLines w:val="0"/>
        <w:widowControl/>
        <w:suppressLineNumbers w:val="0"/>
        <w:jc w:val="left"/>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二、服务要求</w:t>
      </w:r>
    </w:p>
    <w:p>
      <w:pPr>
        <w:keepNext w:val="0"/>
        <w:keepLines w:val="0"/>
        <w:pageBreakBefore w:val="0"/>
        <w:widowControl/>
        <w:suppressLineNumbers w:val="0"/>
        <w:kinsoku/>
        <w:wordWrap/>
        <w:overflowPunct/>
        <w:topLinePunct w:val="0"/>
        <w:bidi w:val="0"/>
        <w:snapToGrid/>
        <w:ind w:firstLine="643" w:firstLineChars="200"/>
        <w:jc w:val="left"/>
        <w:textAlignment w:val="auto"/>
        <w:rPr>
          <w:rFonts w:hint="default"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（一）基本条件要求（实质性要求）</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1.投标人为从事</w:t>
      </w:r>
      <w:r>
        <w:rPr>
          <w:rFonts w:hint="eastAsia" w:ascii="仿宋_GB2312" w:hAnsi="仿宋_GB2312" w:eastAsia="仿宋_GB2312" w:cs="仿宋_GB2312"/>
          <w:i w:val="0"/>
          <w:iCs w:val="0"/>
          <w:caps w:val="0"/>
          <w:color w:val="auto"/>
          <w:spacing w:val="0"/>
          <w:kern w:val="0"/>
          <w:sz w:val="32"/>
          <w:szCs w:val="32"/>
          <w:highlight w:val="none"/>
          <w:lang w:val="en-US" w:eastAsia="zh-CN" w:bidi="ar"/>
        </w:rPr>
        <w:t>餐饮1年以上具有餐饮经营管理经验的餐饮公司或个人</w:t>
      </w:r>
      <w:r>
        <w:rPr>
          <w:rFonts w:hint="eastAsia" w:ascii="仿宋_GB2312" w:hAnsi="仿宋_GB2312" w:eastAsia="仿宋_GB2312" w:cs="仿宋_GB2312"/>
          <w:b/>
          <w:bCs/>
          <w:i w:val="0"/>
          <w:iCs w:val="0"/>
          <w:caps w:val="0"/>
          <w:color w:val="auto"/>
          <w:spacing w:val="0"/>
          <w:kern w:val="0"/>
          <w:sz w:val="32"/>
          <w:szCs w:val="32"/>
          <w:highlight w:val="none"/>
          <w:lang w:val="en-US" w:eastAsia="zh-CN" w:bidi="ar"/>
        </w:rPr>
        <w:t>（提供承诺函）。</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2.投标人为公司的，需提供营业执照、餐饮许可证、法人身份证复印件；投标人为个人的，需提供个人身份证复印件、体检合格证明或健康证。</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3.投标人派遣厨师，需提供拟聘厨师的厨师证或从事厨师工作1年以上的证明材料。</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4.投标人须在规定时间内办理营业许可证等证件</w:t>
      </w:r>
      <w:r>
        <w:rPr>
          <w:rFonts w:hint="eastAsia" w:ascii="仿宋_GB2312" w:hAnsi="仿宋_GB2312" w:eastAsia="仿宋_GB2312" w:cs="仿宋_GB2312"/>
          <w:b/>
          <w:bCs/>
          <w:i w:val="0"/>
          <w:iCs w:val="0"/>
          <w:caps w:val="0"/>
          <w:color w:val="auto"/>
          <w:spacing w:val="0"/>
          <w:kern w:val="0"/>
          <w:sz w:val="32"/>
          <w:szCs w:val="32"/>
          <w:lang w:val="en-US" w:eastAsia="zh-CN" w:bidi="ar"/>
        </w:rPr>
        <w:t>（提供承诺函）。</w:t>
      </w:r>
    </w:p>
    <w:p>
      <w:pPr>
        <w:keepNext w:val="0"/>
        <w:keepLines w:val="0"/>
        <w:pageBreakBefore w:val="0"/>
        <w:widowControl/>
        <w:suppressLineNumbers w:val="0"/>
        <w:kinsoku/>
        <w:wordWrap/>
        <w:overflowPunct/>
        <w:topLinePunct w:val="0"/>
        <w:bidi w:val="0"/>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（二）食堂经营要求（实质性要求）</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1.服务期间中标人不得进行转包、分包。中标人须是自行提供服务，不得将食堂经营权进行任何方式的分包、转租。</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2.服务期费用：</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2.1服务期限内的改扩建（包括但不限于相关政策要求整改的内容）、设备添置、水费、电费、气费、修理费等费用均由经营人自行承担（其中采购人垫付费用按月结算支付），不</w:t>
      </w:r>
      <w:r>
        <w:rPr>
          <w:rFonts w:hint="eastAsia" w:ascii="仿宋_GB2312" w:hAnsi="仿宋_GB2312" w:eastAsia="仿宋_GB2312" w:cs="仿宋_GB2312"/>
          <w:i w:val="0"/>
          <w:iCs w:val="0"/>
          <w:caps w:val="0"/>
          <w:color w:val="auto"/>
          <w:spacing w:val="0"/>
          <w:kern w:val="0"/>
          <w:sz w:val="32"/>
          <w:szCs w:val="32"/>
          <w:highlight w:val="none"/>
          <w:lang w:val="en-US" w:eastAsia="zh-CN" w:bidi="ar"/>
        </w:rPr>
        <w:t>计入管理费用。</w:t>
      </w:r>
      <w:r>
        <w:rPr>
          <w:rFonts w:hint="eastAsia" w:ascii="仿宋_GB2312" w:hAnsi="仿宋_GB2312" w:eastAsia="仿宋_GB2312" w:cs="仿宋_GB2312"/>
          <w:i w:val="0"/>
          <w:iCs w:val="0"/>
          <w:caps w:val="0"/>
          <w:color w:val="auto"/>
          <w:spacing w:val="0"/>
          <w:kern w:val="0"/>
          <w:sz w:val="32"/>
          <w:szCs w:val="32"/>
          <w:lang w:val="en-US" w:eastAsia="zh-CN" w:bidi="ar"/>
        </w:rPr>
        <w:t>采购人需负责水、电、气三通。</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2.2中标人在实际经营中菜品价格须根据市场变化进行调整的，调整后的价格均不得高于市场价格，菜品份量不得低于市场份量、调整后的菜品价格需经医院食堂管理部门认可备案后才能执行新价格。</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3.经营范围：中标人负责食堂菜品加工，在医院规定的经营时间内，负责供职工、病员及家属（早、中、晚）餐饮服务；早餐品种不少于4种，中晚餐提供套餐和点餐服务，套餐品种每顿不少于3荤3素，点餐品种不少于10种（提供的菜单主要以川菜为主，含菜品名称、报价）。在确保上述就餐正常供应后，可根据职工、病员及家属和营养餐要求增加更多的品种，并将菜品及价格公布，供不同人群选择消费。</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4.中标人须严格履行合同要求，在以往餐饮经营中信誉良好、遵纪守法、诚信明礼，餐饮经营管理中不得出现食品中毒、违法等不良记录；食堂就餐区、厨房等区域的清洁卫生，应达到餐饮行业相关清洁卫生标准；提供干净卫生且经过消毒的餐具；员工着干净的工作服、工作期间必须穿工作服戴口罩帽子；中标人所有工作人员都必须具有符合规定的健康证，并在食堂就餐区公示。</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5.中标人必须自行办理卫生许可证等相关证件，严格执行招标人的各项规章制度，服从</w:t>
      </w:r>
      <w:r>
        <w:rPr>
          <w:rFonts w:hint="eastAsia" w:ascii="仿宋_GB2312" w:hAnsi="仿宋_GB2312" w:eastAsia="仿宋_GB2312" w:cs="仿宋_GB2312"/>
          <w:i w:val="0"/>
          <w:iCs w:val="0"/>
          <w:caps w:val="0"/>
          <w:color w:val="auto"/>
          <w:spacing w:val="0"/>
          <w:kern w:val="0"/>
          <w:sz w:val="32"/>
          <w:szCs w:val="32"/>
          <w:highlight w:val="none"/>
          <w:lang w:val="en-US" w:eastAsia="zh-CN" w:bidi="ar"/>
        </w:rPr>
        <w:t>采购人管理，并制订配套的内部管理制度，严禁出现任何破坏采购人工作</w:t>
      </w:r>
      <w:r>
        <w:rPr>
          <w:rFonts w:hint="eastAsia" w:ascii="仿宋_GB2312" w:hAnsi="仿宋_GB2312" w:eastAsia="仿宋_GB2312" w:cs="仿宋_GB2312"/>
          <w:i w:val="0"/>
          <w:iCs w:val="0"/>
          <w:caps w:val="0"/>
          <w:color w:val="auto"/>
          <w:spacing w:val="0"/>
          <w:kern w:val="0"/>
          <w:sz w:val="32"/>
          <w:szCs w:val="32"/>
          <w:lang w:val="en-US" w:eastAsia="zh-CN" w:bidi="ar"/>
        </w:rPr>
        <w:t>秩序的行为。</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6.中标人必须按照《食品卫生法》规定负责食堂的饮食安全卫生，采购人严格执行事故责任追究制度。如在经营期内中标人违反《中华人民共和国食品安全法》及《餐饮服务食品安全操作规范》等相关法律法规，在经营期内若出现食品安全事故，由中标人全部承担相应的法律责任及赔偿责任，同时采购人可单方面解除合同且不承担违约责任。</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7.中标人负责食堂的消防安全管理。一是配齐安全设施设备。比如：灭火毯、灭火器（ABC类）、燃气报警装置、熄火保护装置等。二是开展日常安全检查，排除安全隐患。三是做好员工的安全培训和演练，至少每半年开展一次消防培训和演练，员工掌握“四个能力”（检查隐患、扑救初火、疏散逃生、宣传教育）。在经营期内若出现消防安全事故，由中标人全部承担相应的法律责任及赔偿责任，同时采购人可单方面解除合同且不承担违约责任。</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8.中标人需自行负责原材料采购、运输、储存等环节并承担相关费用，须与原材料供货方签定采购协议，提交食堂管理部门存档备案。在原材料采购中，要保证从正规渠道购进，并经过有关食品检验检疫部门的正规检验合格，须严格执行国家相关法规。其中，肉制品的采购必须实行定点采购，并应提供定点采购供货方的营业执照、经营许可证、卫生许可证、检验检疫合格证等；肉制品（不得使用冰冻肉类，如必须替换须报告招标人许可）、生鲜禽类必须保证新鲜，畜肉品须色泽鲜亮、无任何异味、无毛、按压无水迹且不得使用潮头肉等次品肉；禽肉类制品须肉面干净、无任何异味、无毛发、表皮处理清洁。水产类须保证鲜活。蔬菜、水果类材料采购必须从正规市场购入并符合国家有关食品安全方面的规定。各种主食材料（米面等）、辅料、调味品及卫生消毒用品、消耗品等必须从正规厂商或商场购入，指定品牌和采购渠道，并提供产品的品牌和供货方的营业执照、经营许可证、卫生许可证、检验检疫合格证等材料，保证质量、杜绝使用三无产品、假冒伪劣、过期产品。采购人如发现中标人未按规定进行采购，可立即终止合同，造成的损失由中标人负责赔偿，并承担相应的行政和法律责任。</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9.原料配送及保质要求：大米、面粉、菜油每周配送一次，生鲜肉类、生鲜禽类、水产类、蔬菜、水果类保证每日配送，中标人须保证所供原材料均为符合国家卫生、质量检验标准的正规产品，公开食物采购明细，可溯源。每日菜品均留存样品一份，留存样品量不小于100克，保存时间为48小时，确认期间无任何食品安全问题后丢弃。相关部门不定期的对中标人所送物资原料进行检验检测，保证物资无毒无害新鲜，不得喷洒有毒有害物资，对原料进行保鲜或保质，否则一经查实，采购人可立即终止合同，所造成的损失由中标人负责赔偿，并承担相应的行政和法律责任。所有要求在源本生鲜平台上采购的食品必须在平台上采购并及时登记，否则由此造成的后果投标人承担全部责任。</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10.所有餐厨垃圾严格按照相关规定处置并建立处置台账。</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11.中标人必须配合采购人接受相关监管部门的监督检查，各类检查需达到合格要求，如达不到合格要求，采购人有权单方面终止合同，所造成的损失由中标人自行承担。</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12.采购人对中标人工作日常不定期抽查，定期考核检查，中标人需配合采购人检查。</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13.中标人合同期满后或因违规被终止合同，期间进行的装修等不得破坏，否则采购人有权从履约保证金中按情况进行扣款。</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14.中标人合理安排休假时间，每年休假天数原则上不超过10天，且休假具体日期应提前3日向食堂管理部门汇报备案。</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15.中标人负责食堂使用设备的维护和清洁并建立维护和清洁台账。</w:t>
      </w:r>
    </w:p>
    <w:p>
      <w:pPr>
        <w:keepNext w:val="0"/>
        <w:keepLines w:val="0"/>
        <w:pageBreakBefore w:val="0"/>
        <w:widowControl/>
        <w:suppressLineNumbers w:val="0"/>
        <w:kinsoku/>
        <w:wordWrap/>
        <w:overflowPunct/>
        <w:topLinePunct w:val="0"/>
        <w:bidi w:val="0"/>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（三）人员管理（实质性要求）</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1.中标人须对所有服务管理制定完整详细的管理制度、岗位职责，明确责任。</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2.中标人需按采购人工作要求派遣人员，不得随意频繁更换人员，保证人员如实到岗及稳定工作。</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3.食堂内的工作人员属于中标人的员工，与采购人不存在任何雇佣、委托等劳动关系，同时食堂工作人员在工作过程中的安全责任由中标人负责。如用电、用水、用气等不注意安全引起生产事故，或发生意外伤亡事故，中标人承担全部责任和必要的经济补偿，采购人概不承担任何责任。由于中标人或其员工在提供服务过程中的过失行为或疏忽给采购人管理人员、职工、所服务的对象所造成的赔偿责任由中标人承担。</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4.中标人所派员工需提供在定点机构办理的健康证，交由采购人存档备案。</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5.中标人将承担员工的工资和与其有关国家或地方法规所要求征收的税金、保险、福利和其它费用，如因中标人履行不到位，由此产生的法律后果由中标人承担</w:t>
      </w:r>
      <w:r>
        <w:rPr>
          <w:rFonts w:hint="eastAsia" w:ascii="仿宋_GB2312" w:hAnsi="仿宋_GB2312" w:eastAsia="仿宋_GB2312" w:cs="仿宋_GB2312"/>
          <w:i w:val="0"/>
          <w:iCs w:val="0"/>
          <w:caps w:val="0"/>
          <w:color w:val="auto"/>
          <w:spacing w:val="0"/>
          <w:kern w:val="0"/>
          <w:sz w:val="32"/>
          <w:szCs w:val="32"/>
          <w:highlight w:val="none"/>
          <w:lang w:val="en-US" w:eastAsia="zh-CN" w:bidi="ar"/>
        </w:rPr>
        <w:t>，采购人不</w:t>
      </w:r>
      <w:r>
        <w:rPr>
          <w:rFonts w:hint="eastAsia" w:ascii="仿宋_GB2312" w:hAnsi="仿宋_GB2312" w:eastAsia="仿宋_GB2312" w:cs="仿宋_GB2312"/>
          <w:i w:val="0"/>
          <w:iCs w:val="0"/>
          <w:caps w:val="0"/>
          <w:color w:val="auto"/>
          <w:spacing w:val="0"/>
          <w:kern w:val="0"/>
          <w:sz w:val="32"/>
          <w:szCs w:val="32"/>
          <w:lang w:val="en-US" w:eastAsia="zh-CN" w:bidi="ar"/>
        </w:rPr>
        <w:t>负连带责任。</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6.人员配备：厨师或从事厨师工作1年以上的人员至少1名，服务人员至少3人。</w:t>
      </w:r>
    </w:p>
    <w:p>
      <w:pPr>
        <w:keepNext w:val="0"/>
        <w:keepLines w:val="0"/>
        <w:pageBreakBefore w:val="0"/>
        <w:widowControl/>
        <w:suppressLineNumbers w:val="0"/>
        <w:kinsoku/>
        <w:wordWrap/>
        <w:overflowPunct/>
        <w:topLinePunct w:val="0"/>
        <w:bidi w:val="0"/>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（四）费用支付（实质性要求）</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采购人每月根据因公在食堂就餐及职工误餐福利等实际餐费（扣除考核罚款费用），在中标人提供等额合法有效的增殖税普票后采购人30天内以转账方式进行支付。</w:t>
      </w:r>
    </w:p>
    <w:p>
      <w:pPr>
        <w:keepNext w:val="0"/>
        <w:keepLines w:val="0"/>
        <w:pageBreakBefore w:val="0"/>
        <w:widowControl/>
        <w:suppressLineNumbers w:val="0"/>
        <w:kinsoku/>
        <w:wordWrap/>
        <w:overflowPunct/>
        <w:topLinePunct w:val="0"/>
        <w:bidi w:val="0"/>
        <w:snapToGrid/>
        <w:ind w:firstLine="643" w:firstLineChars="200"/>
        <w:jc w:val="left"/>
        <w:textAlignment w:val="auto"/>
        <w:rPr>
          <w:rFonts w:hint="default"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三、商务要求（实质性要求）</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（一）管理费为2万元/年。管</w:t>
      </w:r>
      <w:r>
        <w:rPr>
          <w:rFonts w:hint="eastAsia" w:ascii="仿宋_GB2312" w:hAnsi="仿宋_GB2312" w:eastAsia="仿宋_GB2312" w:cs="仿宋_GB2312"/>
          <w:i w:val="0"/>
          <w:iCs w:val="0"/>
          <w:caps w:val="0"/>
          <w:color w:val="auto"/>
          <w:spacing w:val="0"/>
          <w:kern w:val="0"/>
          <w:sz w:val="32"/>
          <w:szCs w:val="32"/>
          <w:lang w:val="en-US" w:eastAsia="zh-CN" w:bidi="ar"/>
        </w:rPr>
        <w:t>理费用按年支付，合同签定后10个工作日内转账到采购人指定账户。</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（二）服务期限：3年。</w:t>
      </w:r>
      <w:r>
        <w:rPr>
          <w:rFonts w:hint="eastAsia" w:ascii="仿宋_GB2312" w:hAnsi="仿宋_GB2312" w:eastAsia="仿宋_GB2312" w:cs="仿宋_GB2312"/>
          <w:i w:val="0"/>
          <w:iCs w:val="0"/>
          <w:caps w:val="0"/>
          <w:color w:val="auto"/>
          <w:spacing w:val="0"/>
          <w:kern w:val="0"/>
          <w:sz w:val="32"/>
          <w:szCs w:val="32"/>
          <w:lang w:val="en-US" w:eastAsia="zh-CN" w:bidi="ar"/>
        </w:rPr>
        <w:t>合同一年一签（合同期每满1年，采购人将对经营人服务质量等方面进行考评，若合格，续签下一年度合同，若不合格，采购人有权单方面终止合同，且不承担违约责任。由此所造成的损失及产生的费用由中标人自行承担。）</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（三）经公示无异议后，中标人收到中标通知书后30日内与采购人签订服务合同。</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（四）履约保证金缴纳5万元。（中标人在合同签订前，将履</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约保证金以现金的形式转账到采购人指定账户）</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（五）中标人签定合同后应在5个自然日内与现经营者完成交接并营业，交接期间中标人原则不能停业，满足采购人正常工作的开展。</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（六）服务期间，若就餐人数增加，</w:t>
      </w:r>
      <w:r>
        <w:rPr>
          <w:rFonts w:hint="eastAsia" w:ascii="仿宋_GB2312" w:hAnsi="仿宋_GB2312" w:eastAsia="仿宋_GB2312" w:cs="仿宋_GB2312"/>
          <w:i w:val="0"/>
          <w:iCs w:val="0"/>
          <w:caps w:val="0"/>
          <w:color w:val="auto"/>
          <w:spacing w:val="0"/>
          <w:kern w:val="0"/>
          <w:sz w:val="32"/>
          <w:szCs w:val="32"/>
          <w:lang w:val="en-US" w:eastAsia="zh-CN" w:bidi="ar"/>
        </w:rPr>
        <w:t>中标人有能力解决就餐问题；若遇就餐人数减少与采购人无关。</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（七）采购人定期或不定期对中标人的服务开展满意度调查，若满意度调查结果</w:t>
      </w:r>
      <w:r>
        <w:rPr>
          <w:rFonts w:hint="default" w:ascii="仿宋_GB2312" w:hAnsi="仿宋_GB2312" w:eastAsia="仿宋_GB2312" w:cs="仿宋_GB2312"/>
          <w:i w:val="0"/>
          <w:iCs w:val="0"/>
          <w:caps w:val="0"/>
          <w:color w:val="auto"/>
          <w:spacing w:val="0"/>
          <w:kern w:val="0"/>
          <w:sz w:val="32"/>
          <w:szCs w:val="32"/>
          <w:lang w:val="en-US" w:eastAsia="zh-CN" w:bidi="ar"/>
        </w:rPr>
        <w:t>≤</w:t>
      </w:r>
      <w:r>
        <w:rPr>
          <w:rFonts w:hint="eastAsia" w:ascii="仿宋_GB2312" w:hAnsi="仿宋_GB2312" w:eastAsia="仿宋_GB2312" w:cs="仿宋_GB2312"/>
          <w:i w:val="0"/>
          <w:iCs w:val="0"/>
          <w:caps w:val="0"/>
          <w:color w:val="auto"/>
          <w:spacing w:val="0"/>
          <w:kern w:val="0"/>
          <w:sz w:val="32"/>
          <w:szCs w:val="32"/>
          <w:lang w:val="en-US" w:eastAsia="zh-CN" w:bidi="ar"/>
        </w:rPr>
        <w:t>70%，要求中标人限期整改；若满意度调查结果</w:t>
      </w:r>
      <w:r>
        <w:rPr>
          <w:rFonts w:hint="default" w:ascii="仿宋_GB2312" w:hAnsi="仿宋_GB2312" w:eastAsia="仿宋_GB2312" w:cs="仿宋_GB2312"/>
          <w:i w:val="0"/>
          <w:iCs w:val="0"/>
          <w:caps w:val="0"/>
          <w:color w:val="auto"/>
          <w:spacing w:val="0"/>
          <w:kern w:val="0"/>
          <w:sz w:val="32"/>
          <w:szCs w:val="32"/>
          <w:lang w:val="en-US" w:eastAsia="zh-CN" w:bidi="ar"/>
        </w:rPr>
        <w:t>≤</w:t>
      </w:r>
      <w:r>
        <w:rPr>
          <w:rFonts w:hint="eastAsia" w:ascii="仿宋_GB2312" w:hAnsi="仿宋_GB2312" w:eastAsia="仿宋_GB2312" w:cs="仿宋_GB2312"/>
          <w:i w:val="0"/>
          <w:iCs w:val="0"/>
          <w:caps w:val="0"/>
          <w:color w:val="auto"/>
          <w:spacing w:val="0"/>
          <w:kern w:val="0"/>
          <w:sz w:val="32"/>
          <w:szCs w:val="32"/>
          <w:lang w:val="en-US" w:eastAsia="zh-CN" w:bidi="ar"/>
        </w:rPr>
        <w:t>50% ，采购人有权责令中标人停业整改，整改期间医院将暂停转账。若整改后满意度调查结果仍然</w:t>
      </w:r>
      <w:r>
        <w:rPr>
          <w:rFonts w:hint="default" w:ascii="仿宋_GB2312" w:hAnsi="仿宋_GB2312" w:eastAsia="仿宋_GB2312" w:cs="仿宋_GB2312"/>
          <w:i w:val="0"/>
          <w:iCs w:val="0"/>
          <w:caps w:val="0"/>
          <w:color w:val="auto"/>
          <w:spacing w:val="0"/>
          <w:kern w:val="0"/>
          <w:sz w:val="32"/>
          <w:szCs w:val="32"/>
          <w:lang w:val="en-US" w:eastAsia="zh-CN" w:bidi="ar"/>
        </w:rPr>
        <w:t>≤</w:t>
      </w:r>
      <w:r>
        <w:rPr>
          <w:rFonts w:hint="eastAsia" w:ascii="仿宋_GB2312" w:hAnsi="仿宋_GB2312" w:eastAsia="仿宋_GB2312" w:cs="仿宋_GB2312"/>
          <w:i w:val="0"/>
          <w:iCs w:val="0"/>
          <w:caps w:val="0"/>
          <w:color w:val="auto"/>
          <w:spacing w:val="0"/>
          <w:kern w:val="0"/>
          <w:sz w:val="32"/>
          <w:szCs w:val="32"/>
          <w:lang w:val="en-US" w:eastAsia="zh-CN" w:bidi="ar"/>
        </w:rPr>
        <w:t>50%。采购人有权单方面终止合同。</w:t>
      </w:r>
    </w:p>
    <w:p>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（八）在合同履行期间，若遇采购人搬迁或其它不可抗拒的因素导致合同无法继续履约，则合同自行解除，双方均不承担违约责任。</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四、评标方法</w:t>
      </w:r>
    </w:p>
    <w:p>
      <w:pPr>
        <w:pStyle w:val="7"/>
        <w:keepNext w:val="0"/>
        <w:keepLines w:val="0"/>
        <w:pageBreakBefore w:val="0"/>
        <w:numPr>
          <w:ilvl w:val="0"/>
          <w:numId w:val="0"/>
        </w:numPr>
        <w:kinsoku/>
        <w:wordWrap/>
        <w:overflowPunct/>
        <w:topLinePunct w:val="0"/>
        <w:bidi w:val="0"/>
        <w:snapToGrid/>
        <w:ind w:leftChars="0" w:firstLine="640" w:firstLineChars="200"/>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（一）本项目评标方法为：综合评分法。</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3193"/>
        <w:gridCol w:w="1035"/>
        <w:gridCol w:w="1515"/>
        <w:gridCol w:w="10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trPr>
        <w:tc>
          <w:tcPr>
            <w:tcW w:w="1661" w:type="dxa"/>
          </w:tcPr>
          <w:p>
            <w:pPr>
              <w:pStyle w:val="23"/>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 xml:space="preserve"> 评审项</w:t>
            </w:r>
            <w:r>
              <w:rPr>
                <w:rFonts w:hint="eastAsia" w:ascii="仿宋_GB2312" w:hAnsi="仿宋_GB2312" w:eastAsia="仿宋_GB2312" w:cs="仿宋_GB2312"/>
                <w:color w:val="auto"/>
                <w:sz w:val="24"/>
                <w:szCs w:val="24"/>
                <w:lang w:val="en-US" w:eastAsia="zh-CN"/>
              </w:rPr>
              <w:t>目</w:t>
            </w:r>
          </w:p>
        </w:tc>
        <w:tc>
          <w:tcPr>
            <w:tcW w:w="3193" w:type="dxa"/>
          </w:tcPr>
          <w:p>
            <w:pPr>
              <w:pStyle w:val="23"/>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详细描述</w:t>
            </w:r>
          </w:p>
        </w:tc>
        <w:tc>
          <w:tcPr>
            <w:tcW w:w="1035" w:type="dxa"/>
          </w:tcPr>
          <w:p>
            <w:pPr>
              <w:pStyle w:val="23"/>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分值</w:t>
            </w:r>
          </w:p>
        </w:tc>
        <w:tc>
          <w:tcPr>
            <w:tcW w:w="1515" w:type="dxa"/>
          </w:tcPr>
          <w:p>
            <w:pPr>
              <w:pStyle w:val="23"/>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客观/主观</w:t>
            </w:r>
          </w:p>
        </w:tc>
        <w:tc>
          <w:tcPr>
            <w:tcW w:w="1005" w:type="dxa"/>
          </w:tcPr>
          <w:p>
            <w:pPr>
              <w:pStyle w:val="23"/>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服务方案</w:t>
            </w:r>
          </w:p>
        </w:tc>
        <w:tc>
          <w:tcPr>
            <w:tcW w:w="3193" w:type="dxa"/>
          </w:tcPr>
          <w:p>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提供的服务方案进行评审，内容包含： ①服务理念； ②食材营养搭配； ③项目组织实施方案； ④应急方案。 上述4项内容满分得</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0分，每缺一项扣</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分，每有一处内容存在不足的扣</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分，每项最多扣</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0分扣完为止。 注：不足是指：指存在①项目名称错误、②地点区域错误、③内容有明显错误，前后内容无法连贯、④内容与本项目需求无关、⑤仅有框架或标题、⑥适用的标准（方法）错误、⑦明显复制其他项目内容或简单套用其他项目方案、⑧内容非专门针对本项目编制、内容脱离了项目实际情况不具备实施的可能性、⑨缺少客观佐证材料、⑩内容简略或简单复制本项目采购需求：以上任意一种情形。</w:t>
            </w:r>
          </w:p>
        </w:tc>
        <w:tc>
          <w:tcPr>
            <w:tcW w:w="1035" w:type="dxa"/>
          </w:tcPr>
          <w:p>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w:t>
            </w:r>
            <w:r>
              <w:rPr>
                <w:rFonts w:hint="eastAsia" w:ascii="仿宋_GB2312" w:hAnsi="仿宋_GB2312" w:eastAsia="仿宋_GB2312" w:cs="仿宋_GB2312"/>
                <w:color w:val="auto"/>
                <w:sz w:val="24"/>
                <w:szCs w:val="24"/>
                <w:lang w:val="en-US" w:eastAsia="zh-CN"/>
              </w:rPr>
              <w:t>分</w:t>
            </w:r>
          </w:p>
        </w:tc>
        <w:tc>
          <w:tcPr>
            <w:tcW w:w="1515" w:type="dxa"/>
          </w:tcPr>
          <w:p>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主观</w:t>
            </w:r>
          </w:p>
        </w:tc>
        <w:tc>
          <w:tcPr>
            <w:tcW w:w="1005" w:type="dxa"/>
          </w:tcPr>
          <w:p>
            <w:pPr>
              <w:pStyle w:val="23"/>
              <w:rPr>
                <w:rFonts w:hint="eastAsia" w:ascii="仿宋_GB2312" w:hAnsi="仿宋_GB2312" w:eastAsia="仿宋_GB2312" w:cs="仿宋_GB2312"/>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卫生管理方案</w:t>
            </w:r>
          </w:p>
        </w:tc>
        <w:tc>
          <w:tcPr>
            <w:tcW w:w="3193" w:type="dxa"/>
          </w:tcPr>
          <w:p>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针对本项目提供卫生管理方案进行评审，内容包含： ①厨房及设备设施卫生； ②餐厅卫生； ③食品制作卫生； ④个人卫生。 上述4项内容满分得</w:t>
            </w:r>
            <w:r>
              <w:rPr>
                <w:rFonts w:hint="eastAsia" w:ascii="仿宋_GB2312" w:hAnsi="仿宋_GB2312" w:eastAsia="仿宋_GB2312" w:cs="仿宋_GB2312"/>
                <w:color w:val="auto"/>
                <w:sz w:val="24"/>
                <w:szCs w:val="24"/>
                <w:lang w:val="en-US" w:eastAsia="zh-CN"/>
              </w:rPr>
              <w:t>16</w:t>
            </w:r>
            <w:r>
              <w:rPr>
                <w:rFonts w:hint="eastAsia" w:ascii="仿宋_GB2312" w:hAnsi="仿宋_GB2312" w:eastAsia="仿宋_GB2312" w:cs="仿宋_GB2312"/>
                <w:color w:val="auto"/>
                <w:sz w:val="24"/>
                <w:szCs w:val="24"/>
              </w:rPr>
              <w:t>分，每缺一项扣4分，每有一处内容存在不足的扣0.5分，每项最多扣4分，1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分扣完为止。 注：不足是指：①项目名称错误、②地点区域错误、③内容有明显错误，前后内容无法连贯、④内容与本项目需求无关、⑤仅有框架或标题、⑥适用的标准（方法）错误、⑦明显复制其他项目内容或简单套用其他项目方案、⑧内容非专门针对本项目编制、内容脱离了项目实际情况不具备实施的可能性、⑨缺少客观佐证材料、⑩内容简略或简单复制本项目采购需求：以上任意一种情形。</w:t>
            </w:r>
          </w:p>
        </w:tc>
        <w:tc>
          <w:tcPr>
            <w:tcW w:w="1035" w:type="dxa"/>
          </w:tcPr>
          <w:p>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6分</w:t>
            </w:r>
          </w:p>
        </w:tc>
        <w:tc>
          <w:tcPr>
            <w:tcW w:w="1515" w:type="dxa"/>
          </w:tcPr>
          <w:p>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主观</w:t>
            </w:r>
          </w:p>
        </w:tc>
        <w:tc>
          <w:tcPr>
            <w:tcW w:w="1005" w:type="dxa"/>
          </w:tcPr>
          <w:p>
            <w:pPr>
              <w:pStyle w:val="23"/>
              <w:rPr>
                <w:rFonts w:hint="eastAsia" w:ascii="仿宋_GB2312" w:hAnsi="仿宋_GB2312" w:eastAsia="仿宋_GB2312" w:cs="仿宋_GB2312"/>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食材采购环节规范操作管理制度</w:t>
            </w:r>
          </w:p>
        </w:tc>
        <w:tc>
          <w:tcPr>
            <w:tcW w:w="3193" w:type="dxa"/>
          </w:tcPr>
          <w:p>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针对本项目提供食材采购管理制度进行评审，内容包含： ①食材溯源； ②食材采购流程； ③食材质量保证措施； ④食材安全措施。 上述4项内容满分得1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分，每缺一项扣4分，每有一处内容存在不足的扣0.5分，每项最多扣4分，1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分扣完为止。 注：不足是指：①项目名称错误、②地点区域错误、③内容有明显错误，前后内容无法连贯、④内容与本项目需求无关、⑤仅有框架或标题、⑥适用的标准（方法）错误、⑦明显复制其他项目内容或简单套用其他项目方案、⑧内容非专门针对本项目编制、内容脱离了项目实际情况不具备实施的可能性、⑨缺少客观佐证材料、⑩内容简略或简单复制本项目采购需求：以上任意一种情形。</w:t>
            </w:r>
          </w:p>
        </w:tc>
        <w:tc>
          <w:tcPr>
            <w:tcW w:w="1035" w:type="dxa"/>
          </w:tcPr>
          <w:p>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6分</w:t>
            </w:r>
          </w:p>
        </w:tc>
        <w:tc>
          <w:tcPr>
            <w:tcW w:w="1515" w:type="dxa"/>
          </w:tcPr>
          <w:p>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主观</w:t>
            </w:r>
          </w:p>
        </w:tc>
        <w:tc>
          <w:tcPr>
            <w:tcW w:w="1005" w:type="dxa"/>
          </w:tcPr>
          <w:p>
            <w:pPr>
              <w:pStyle w:val="23"/>
              <w:rPr>
                <w:rFonts w:hint="eastAsia" w:ascii="仿宋_GB2312" w:hAnsi="仿宋_GB2312" w:eastAsia="仿宋_GB2312" w:cs="仿宋_GB2312"/>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人员配置</w:t>
            </w:r>
          </w:p>
        </w:tc>
        <w:tc>
          <w:tcPr>
            <w:tcW w:w="3193" w:type="dxa"/>
          </w:tcPr>
          <w:p>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针对</w:t>
            </w:r>
            <w:r>
              <w:rPr>
                <w:rFonts w:hint="eastAsia" w:ascii="仿宋_GB2312" w:hAnsi="仿宋_GB2312" w:eastAsia="仿宋_GB2312" w:cs="仿宋_GB2312"/>
                <w:color w:val="auto"/>
                <w:sz w:val="24"/>
                <w:szCs w:val="24"/>
                <w:lang w:val="en-US" w:eastAsia="zh-CN"/>
              </w:rPr>
              <w:t>采购</w:t>
            </w:r>
            <w:r>
              <w:rPr>
                <w:rFonts w:hint="eastAsia" w:ascii="仿宋_GB2312" w:hAnsi="仿宋_GB2312" w:eastAsia="仿宋_GB2312" w:cs="仿宋_GB2312"/>
                <w:color w:val="auto"/>
                <w:sz w:val="24"/>
                <w:szCs w:val="24"/>
              </w:rPr>
              <w:t>人实际情况，投标人提供服务人员分工明确，每增加1名从事厨师工作的得2分，最多得2分；每增加1名服务人员得1分，最多得2分。（证明材料：需提供服务人员为的书面证明材料（可提供承诺函）及服务人员的健康证和名单）。</w:t>
            </w:r>
          </w:p>
        </w:tc>
        <w:tc>
          <w:tcPr>
            <w:tcW w:w="1035" w:type="dxa"/>
          </w:tcPr>
          <w:p>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分</w:t>
            </w:r>
          </w:p>
        </w:tc>
        <w:tc>
          <w:tcPr>
            <w:tcW w:w="1515" w:type="dxa"/>
          </w:tcPr>
          <w:p>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客观</w:t>
            </w:r>
          </w:p>
        </w:tc>
        <w:tc>
          <w:tcPr>
            <w:tcW w:w="1005" w:type="dxa"/>
          </w:tcPr>
          <w:p>
            <w:pPr>
              <w:pStyle w:val="23"/>
              <w:rPr>
                <w:rFonts w:hint="eastAsia" w:ascii="仿宋_GB2312" w:hAnsi="仿宋_GB2312" w:eastAsia="仿宋_GB2312" w:cs="仿宋_GB2312"/>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23"/>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饭</w:t>
            </w:r>
            <w:r>
              <w:rPr>
                <w:rFonts w:hint="eastAsia" w:ascii="仿宋_GB2312" w:hAnsi="仿宋_GB2312" w:eastAsia="仿宋_GB2312" w:cs="仿宋_GB2312"/>
                <w:color w:val="auto"/>
                <w:sz w:val="24"/>
                <w:szCs w:val="24"/>
              </w:rPr>
              <w:t>菜搭配</w:t>
            </w:r>
          </w:p>
        </w:tc>
        <w:tc>
          <w:tcPr>
            <w:tcW w:w="3193" w:type="dxa"/>
          </w:tcPr>
          <w:p>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饭菜的品种、规格、价格适合</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菜单及照片，经综合评价排名前两家</w:t>
            </w: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的得分为</w:t>
            </w:r>
            <w:r>
              <w:rPr>
                <w:rFonts w:hint="eastAsia" w:ascii="仿宋_GB2312" w:hAnsi="仿宋_GB2312" w:eastAsia="仿宋_GB2312" w:cs="仿宋_GB2312"/>
                <w:color w:val="auto"/>
                <w:sz w:val="24"/>
                <w:szCs w:val="24"/>
                <w:lang w:val="en-US" w:eastAsia="zh-CN"/>
              </w:rPr>
              <w:t>39</w:t>
            </w:r>
            <w:r>
              <w:rPr>
                <w:rFonts w:hint="eastAsia" w:ascii="仿宋_GB2312" w:hAnsi="仿宋_GB2312" w:eastAsia="仿宋_GB2312" w:cs="仿宋_GB2312"/>
                <w:color w:val="auto"/>
                <w:sz w:val="24"/>
                <w:szCs w:val="24"/>
              </w:rPr>
              <w:t>分和</w:t>
            </w:r>
            <w:r>
              <w:rPr>
                <w:rFonts w:hint="eastAsia" w:ascii="仿宋_GB2312" w:hAnsi="仿宋_GB2312" w:eastAsia="仿宋_GB2312" w:cs="仿宋_GB2312"/>
                <w:color w:val="auto"/>
                <w:sz w:val="24"/>
                <w:szCs w:val="24"/>
                <w:lang w:val="en-US" w:eastAsia="zh-CN"/>
              </w:rPr>
              <w:t>34</w:t>
            </w:r>
            <w:r>
              <w:rPr>
                <w:rFonts w:hint="eastAsia" w:ascii="仿宋_GB2312" w:hAnsi="仿宋_GB2312" w:eastAsia="仿宋_GB2312" w:cs="仿宋_GB2312"/>
                <w:color w:val="auto"/>
                <w:sz w:val="24"/>
                <w:szCs w:val="24"/>
              </w:rPr>
              <w:t>分，其余得分为</w:t>
            </w:r>
            <w:r>
              <w:rPr>
                <w:rFonts w:hint="eastAsia" w:ascii="仿宋_GB2312" w:hAnsi="仿宋_GB2312" w:eastAsia="仿宋_GB2312" w:cs="仿宋_GB2312"/>
                <w:color w:val="auto"/>
                <w:sz w:val="24"/>
                <w:szCs w:val="24"/>
                <w:lang w:val="en-US" w:eastAsia="zh-CN"/>
              </w:rPr>
              <w:t>29</w:t>
            </w:r>
            <w:r>
              <w:rPr>
                <w:rFonts w:hint="eastAsia" w:ascii="仿宋_GB2312" w:hAnsi="仿宋_GB2312" w:eastAsia="仿宋_GB2312" w:cs="仿宋_GB2312"/>
                <w:color w:val="auto"/>
                <w:sz w:val="24"/>
                <w:szCs w:val="24"/>
              </w:rPr>
              <w:t>分，未提供不得分。</w:t>
            </w:r>
          </w:p>
        </w:tc>
        <w:tc>
          <w:tcPr>
            <w:tcW w:w="1035" w:type="dxa"/>
          </w:tcPr>
          <w:p>
            <w:pPr>
              <w:pStyle w:val="23"/>
              <w:jc w:val="righ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39分</w:t>
            </w:r>
          </w:p>
        </w:tc>
        <w:tc>
          <w:tcPr>
            <w:tcW w:w="1515" w:type="dxa"/>
          </w:tcPr>
          <w:p>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主观</w:t>
            </w:r>
          </w:p>
        </w:tc>
        <w:tc>
          <w:tcPr>
            <w:tcW w:w="1005" w:type="dxa"/>
          </w:tcPr>
          <w:p>
            <w:pPr>
              <w:pStyle w:val="23"/>
              <w:rPr>
                <w:rFonts w:hint="eastAsia" w:ascii="仿宋_GB2312" w:hAnsi="仿宋_GB2312" w:eastAsia="仿宋_GB2312" w:cs="仿宋_GB2312"/>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业绩</w:t>
            </w:r>
          </w:p>
        </w:tc>
        <w:tc>
          <w:tcPr>
            <w:tcW w:w="3193" w:type="dxa"/>
          </w:tcPr>
          <w:p>
            <w:pPr>
              <w:pStyle w:val="23"/>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提供自202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年1月1日至递交</w:t>
            </w:r>
            <w:r>
              <w:rPr>
                <w:rFonts w:hint="eastAsia" w:ascii="仿宋_GB2312" w:hAnsi="仿宋_GB2312" w:eastAsia="仿宋_GB2312" w:cs="仿宋_GB2312"/>
                <w:color w:val="auto"/>
                <w:sz w:val="24"/>
                <w:szCs w:val="24"/>
                <w:lang w:val="en-US" w:eastAsia="zh-CN"/>
              </w:rPr>
              <w:t>投标</w:t>
            </w:r>
            <w:r>
              <w:rPr>
                <w:rFonts w:hint="eastAsia" w:ascii="仿宋_GB2312" w:hAnsi="仿宋_GB2312" w:eastAsia="仿宋_GB2312" w:cs="仿宋_GB2312"/>
                <w:color w:val="auto"/>
                <w:sz w:val="24"/>
                <w:szCs w:val="24"/>
              </w:rPr>
              <w:t>文件截止日类似业绩：每具有一个业绩的得</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分，最高得</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注：提供完整的合同复印件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每页加盖公章或手写签名，否则不予认可）</w:t>
            </w:r>
            <w:r>
              <w:rPr>
                <w:rFonts w:hint="eastAsia" w:ascii="仿宋_GB2312" w:hAnsi="仿宋_GB2312" w:eastAsia="仿宋_GB2312" w:cs="仿宋_GB2312"/>
                <w:color w:val="auto"/>
                <w:sz w:val="24"/>
                <w:szCs w:val="24"/>
                <w:lang w:eastAsia="zh-CN"/>
              </w:rPr>
              <w:t>。</w:t>
            </w:r>
          </w:p>
        </w:tc>
        <w:tc>
          <w:tcPr>
            <w:tcW w:w="1035" w:type="dxa"/>
          </w:tcPr>
          <w:p>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5分</w:t>
            </w:r>
          </w:p>
        </w:tc>
        <w:tc>
          <w:tcPr>
            <w:tcW w:w="1515" w:type="dxa"/>
          </w:tcPr>
          <w:p>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客观</w:t>
            </w:r>
          </w:p>
        </w:tc>
        <w:tc>
          <w:tcPr>
            <w:tcW w:w="1005" w:type="dxa"/>
          </w:tcPr>
          <w:p>
            <w:pPr>
              <w:pStyle w:val="23"/>
              <w:rPr>
                <w:rFonts w:hint="eastAsia" w:ascii="仿宋_GB2312" w:hAnsi="仿宋_GB2312" w:eastAsia="仿宋_GB2312" w:cs="仿宋_GB2312"/>
                <w:color w:val="auto"/>
                <w:sz w:val="24"/>
                <w:szCs w:val="24"/>
              </w:rPr>
            </w:pPr>
          </w:p>
        </w:tc>
      </w:tr>
    </w:tbl>
    <w:p>
      <w:pPr>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color w:val="auto"/>
          <w:lang w:val="en-US"/>
        </w:rPr>
      </w:pPr>
      <w:r>
        <w:rPr>
          <w:rFonts w:hint="eastAsia" w:ascii="仿宋_GB2312" w:hAnsi="仿宋_GB2312" w:eastAsia="仿宋_GB2312" w:cs="仿宋_GB2312"/>
          <w:i w:val="0"/>
          <w:iCs w:val="0"/>
          <w:caps w:val="0"/>
          <w:color w:val="auto"/>
          <w:spacing w:val="0"/>
          <w:kern w:val="0"/>
          <w:sz w:val="32"/>
          <w:szCs w:val="32"/>
          <w:lang w:val="en-US" w:eastAsia="zh-CN" w:bidi="ar"/>
        </w:rPr>
        <w:t>（二）本项目将遵循公开、公平、公正的原则，由蒲江县中医医院采购工作小组组织评标小组进行评标，综合得分最高的为第一中标候选人。</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五、投标报名时间及方式：</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1.2025年6月19日至2025年6月23日17时00分（北京时间）。</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2.报名时间期限内完成填写以下资料并发送至指定QQ邮箱（3838540973@qq.com）。</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2.1 完成《蒲江县中医医院院内采购报名表》(盖鲜章)（见附件1）。</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2.2 需提供公司的《营业执照》（盖鲜章）或个人身份证复印件加盖手印。</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2.3以上资料扫描成1个PDF文件，按照“单位名称+投标项目名称”的文件名发送指定邮箱。</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六、开标时间、地点和评标时间、地点</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 投标时间 2025年6月26日10时00分-2025年6月26日10时30分（北京时间）。</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 开标时间 2025年6月26日10时30分（北京时间）。</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3. 开标地点：蒲江县中医医院行政三楼会议室。</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4.评标时间及地点：2025年6月26日11时00分（北京时间），蒲江县中医医院行政三楼会议室。</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5.其它事项：投标申请文</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件一份（附件2</w:t>
      </w:r>
      <w:r>
        <w:rPr>
          <w:rFonts w:hint="eastAsia" w:ascii="仿宋_GB2312" w:hAnsi="仿宋_GB2312" w:eastAsia="仿宋_GB2312" w:cs="仿宋_GB2312"/>
          <w:b w:val="0"/>
          <w:bCs w:val="0"/>
          <w:i w:val="0"/>
          <w:iCs w:val="0"/>
          <w:caps w:val="0"/>
          <w:color w:val="auto"/>
          <w:spacing w:val="0"/>
          <w:kern w:val="0"/>
          <w:sz w:val="32"/>
          <w:szCs w:val="32"/>
          <w:lang w:val="en-US" w:eastAsia="zh-CN" w:bidi="ar"/>
        </w:rPr>
        <w:t>）必须在投标截止时间前送达开标地点。逾期送达或者未按照招标文件要求密封的投标申请文件恕不接受。本次招标不接受邮寄的投标申请文件。</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七、开标结果：</w:t>
      </w:r>
      <w:r>
        <w:rPr>
          <w:rFonts w:hint="eastAsia" w:ascii="仿宋_GB2312" w:hAnsi="仿宋_GB2312" w:eastAsia="仿宋_GB2312" w:cs="仿宋_GB2312"/>
          <w:b w:val="0"/>
          <w:bCs w:val="0"/>
          <w:i w:val="0"/>
          <w:iCs w:val="0"/>
          <w:caps w:val="0"/>
          <w:color w:val="auto"/>
          <w:spacing w:val="0"/>
          <w:kern w:val="0"/>
          <w:sz w:val="32"/>
          <w:szCs w:val="32"/>
          <w:lang w:val="en-US" w:eastAsia="zh-CN" w:bidi="ar"/>
        </w:rPr>
        <w:t>详见蒲江县中医医院官网。</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八、其它</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88" w:leftChars="0" w:firstLine="640" w:firstLineChars="200"/>
        <w:jc w:val="left"/>
        <w:textAlignment w:val="auto"/>
        <w:rPr>
          <w:rFonts w:hint="eastAsia"/>
          <w:color w:val="auto"/>
          <w:lang w:val="en-US" w:eastAsia="zh-CN"/>
        </w:rPr>
      </w:pPr>
      <w:r>
        <w:rPr>
          <w:rFonts w:hint="eastAsia" w:ascii="仿宋_GB2312" w:hAnsi="仿宋_GB2312" w:eastAsia="仿宋_GB2312" w:cs="仿宋_GB2312"/>
          <w:i w:val="0"/>
          <w:iCs w:val="0"/>
          <w:caps w:val="0"/>
          <w:color w:val="auto"/>
          <w:spacing w:val="0"/>
          <w:kern w:val="0"/>
          <w:sz w:val="32"/>
          <w:szCs w:val="32"/>
          <w:lang w:val="en-US" w:eastAsia="zh-CN" w:bidi="ar"/>
        </w:rPr>
        <w:t xml:space="preserve">1.自行组织踏勘或联系医院采购部。联系人及联系电话：杜老师  </w:t>
      </w:r>
      <w:r>
        <w:rPr>
          <w:rFonts w:hint="eastAsia" w:ascii="仿宋_GB2312" w:hAnsi="仿宋_GB2312" w:eastAsia="仿宋_GB2312" w:cs="仿宋_GB2312"/>
          <w:i w:val="0"/>
          <w:iCs w:val="0"/>
          <w:caps w:val="0"/>
          <w:color w:val="auto"/>
          <w:spacing w:val="0"/>
          <w:kern w:val="0"/>
          <w:sz w:val="32"/>
          <w:szCs w:val="32"/>
          <w:highlight w:val="none"/>
          <w:lang w:val="en-US" w:eastAsia="zh-CN" w:bidi="ar"/>
        </w:rPr>
        <w:t>88532868。</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2.如有疑问请联系医院</w:t>
      </w:r>
      <w:r>
        <w:rPr>
          <w:rFonts w:hint="eastAsia" w:ascii="仿宋_GB2312" w:hAnsi="仿宋_GB2312" w:eastAsia="仿宋_GB2312" w:cs="仿宋_GB2312"/>
          <w:i w:val="0"/>
          <w:iCs w:val="0"/>
          <w:caps w:val="0"/>
          <w:color w:val="auto"/>
          <w:spacing w:val="0"/>
          <w:kern w:val="0"/>
          <w:sz w:val="32"/>
          <w:szCs w:val="32"/>
          <w:highlight w:val="none"/>
          <w:lang w:val="en-US" w:eastAsia="zh-CN" w:bidi="ar"/>
        </w:rPr>
        <w:t>采购部</w:t>
      </w:r>
      <w:r>
        <w:rPr>
          <w:rFonts w:hint="eastAsia" w:ascii="仿宋_GB2312" w:hAnsi="仿宋_GB2312" w:eastAsia="仿宋_GB2312" w:cs="仿宋_GB2312"/>
          <w:i w:val="0"/>
          <w:iCs w:val="0"/>
          <w:caps w:val="0"/>
          <w:color w:val="auto"/>
          <w:spacing w:val="0"/>
          <w:kern w:val="0"/>
          <w:sz w:val="32"/>
          <w:szCs w:val="32"/>
          <w:lang w:val="en-US" w:eastAsia="zh-CN" w:bidi="ar"/>
        </w:rPr>
        <w:t>联电话： 028-88532868 。</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附件：1.蒲江县中医医院院内采购报名表</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ind w:firstLine="960" w:firstLineChars="3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2.投标申请文件格式</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5120" w:firstLineChars="1600"/>
        <w:jc w:val="left"/>
        <w:textAlignment w:val="auto"/>
        <w:rPr>
          <w:rStyle w:val="16"/>
          <w:rFonts w:hint="eastAsia" w:ascii="宋体" w:hAnsi="宋体" w:eastAsia="宋体" w:cs="宋体"/>
          <w:b w:val="0"/>
          <w:bCs w:val="0"/>
          <w:color w:val="auto"/>
          <w:sz w:val="32"/>
          <w:szCs w:val="32"/>
          <w:highlight w:val="none"/>
          <w:lang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2025年6月18日</w:t>
      </w:r>
    </w:p>
    <w:p>
      <w:pPr>
        <w:widowControl/>
        <w:spacing w:line="700" w:lineRule="exact"/>
        <w:jc w:val="left"/>
        <w:outlineLvl w:val="1"/>
        <w:rPr>
          <w:rStyle w:val="16"/>
          <w:rFonts w:hint="eastAsia" w:ascii="宋体" w:hAnsi="宋体" w:eastAsia="宋体" w:cs="宋体"/>
          <w:b w:val="0"/>
          <w:bCs w:val="0"/>
          <w:color w:val="auto"/>
          <w:sz w:val="32"/>
          <w:szCs w:val="32"/>
          <w:highlight w:val="none"/>
          <w:lang w:val="en-US" w:eastAsia="zh-CN"/>
        </w:rPr>
      </w:pPr>
    </w:p>
    <w:p>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jc w:val="left"/>
        <w:textAlignment w:val="auto"/>
        <w:rPr>
          <w:rFonts w:hint="default"/>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ZWY5MTI1NmUzZTA2MWQ3ODM2YWZmODk4NTA4ODcifQ=="/>
  </w:docVars>
  <w:rsids>
    <w:rsidRoot w:val="00000000"/>
    <w:rsid w:val="00766A37"/>
    <w:rsid w:val="00C0047C"/>
    <w:rsid w:val="05412745"/>
    <w:rsid w:val="064424ED"/>
    <w:rsid w:val="07523B4B"/>
    <w:rsid w:val="07C5098B"/>
    <w:rsid w:val="09102B5A"/>
    <w:rsid w:val="099C076C"/>
    <w:rsid w:val="0A6273E5"/>
    <w:rsid w:val="0A954CFB"/>
    <w:rsid w:val="0C79478F"/>
    <w:rsid w:val="0CF167FE"/>
    <w:rsid w:val="0CFF53BF"/>
    <w:rsid w:val="0D162A01"/>
    <w:rsid w:val="0DF02F5A"/>
    <w:rsid w:val="0E51317D"/>
    <w:rsid w:val="0E8A5F23"/>
    <w:rsid w:val="0EE6547F"/>
    <w:rsid w:val="0F572A0B"/>
    <w:rsid w:val="105238EA"/>
    <w:rsid w:val="135420CC"/>
    <w:rsid w:val="14A8633C"/>
    <w:rsid w:val="177F39F4"/>
    <w:rsid w:val="17A329F7"/>
    <w:rsid w:val="185F4297"/>
    <w:rsid w:val="19692E54"/>
    <w:rsid w:val="19BC50BE"/>
    <w:rsid w:val="19D454DE"/>
    <w:rsid w:val="1A423BE8"/>
    <w:rsid w:val="1A4C32C6"/>
    <w:rsid w:val="1BBB6F00"/>
    <w:rsid w:val="1CBF5FD1"/>
    <w:rsid w:val="1CEA5A58"/>
    <w:rsid w:val="205D622D"/>
    <w:rsid w:val="214849FA"/>
    <w:rsid w:val="214C156A"/>
    <w:rsid w:val="240A21A6"/>
    <w:rsid w:val="243B0E9E"/>
    <w:rsid w:val="24692613"/>
    <w:rsid w:val="27015D0E"/>
    <w:rsid w:val="27606603"/>
    <w:rsid w:val="280478D6"/>
    <w:rsid w:val="284C72CB"/>
    <w:rsid w:val="2E3600BD"/>
    <w:rsid w:val="308415B4"/>
    <w:rsid w:val="31452D95"/>
    <w:rsid w:val="31DD22B0"/>
    <w:rsid w:val="355E759F"/>
    <w:rsid w:val="3BDC51C7"/>
    <w:rsid w:val="3CC748C4"/>
    <w:rsid w:val="3CF15C5F"/>
    <w:rsid w:val="3E69483A"/>
    <w:rsid w:val="3EA86065"/>
    <w:rsid w:val="3FB13A48"/>
    <w:rsid w:val="40900086"/>
    <w:rsid w:val="40BF469B"/>
    <w:rsid w:val="453B44DF"/>
    <w:rsid w:val="46535859"/>
    <w:rsid w:val="46AD5455"/>
    <w:rsid w:val="48851BBE"/>
    <w:rsid w:val="492724E6"/>
    <w:rsid w:val="49FE5ADB"/>
    <w:rsid w:val="4A425992"/>
    <w:rsid w:val="4AD9278D"/>
    <w:rsid w:val="4CF74210"/>
    <w:rsid w:val="51962A9D"/>
    <w:rsid w:val="56861332"/>
    <w:rsid w:val="56F12ACC"/>
    <w:rsid w:val="582B03E3"/>
    <w:rsid w:val="5A9431DD"/>
    <w:rsid w:val="5AF95A53"/>
    <w:rsid w:val="5BFD0E7B"/>
    <w:rsid w:val="5D600B2F"/>
    <w:rsid w:val="5E435E1F"/>
    <w:rsid w:val="60A82E23"/>
    <w:rsid w:val="60F375C4"/>
    <w:rsid w:val="60F46D12"/>
    <w:rsid w:val="615F50A4"/>
    <w:rsid w:val="61DA0784"/>
    <w:rsid w:val="61F77588"/>
    <w:rsid w:val="654A7852"/>
    <w:rsid w:val="669E4476"/>
    <w:rsid w:val="66D47683"/>
    <w:rsid w:val="682065D6"/>
    <w:rsid w:val="698D7C91"/>
    <w:rsid w:val="6B8B275C"/>
    <w:rsid w:val="6BA77929"/>
    <w:rsid w:val="6C603770"/>
    <w:rsid w:val="71290DE0"/>
    <w:rsid w:val="718129CA"/>
    <w:rsid w:val="73693E93"/>
    <w:rsid w:val="76157863"/>
    <w:rsid w:val="764364A0"/>
    <w:rsid w:val="78521189"/>
    <w:rsid w:val="78AF1E90"/>
    <w:rsid w:val="79AD4DB5"/>
    <w:rsid w:val="7B3C7186"/>
    <w:rsid w:val="7B8B1FD0"/>
    <w:rsid w:val="7C1F350C"/>
    <w:rsid w:val="7D4825F1"/>
    <w:rsid w:val="7D6F401F"/>
    <w:rsid w:val="7E4C46CC"/>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宋体" w:hAnsi="宋体"/>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pPr>
    <w:rPr>
      <w:rFonts w:ascii="Times New Roman"/>
      <w:kern w:val="2"/>
      <w:sz w:val="21"/>
      <w:szCs w:val="24"/>
    </w:rPr>
  </w:style>
  <w:style w:type="paragraph" w:styleId="8">
    <w:name w:val="Plain Text"/>
    <w:basedOn w:val="1"/>
    <w:qFormat/>
    <w:uiPriority w:val="0"/>
    <w:rPr>
      <w:rFonts w:ascii="宋体" w:hAnsi="Courier New"/>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next w:val="1"/>
    <w:qFormat/>
    <w:uiPriority w:val="0"/>
    <w:pPr>
      <w:widowControl w:val="0"/>
      <w:spacing w:after="0"/>
      <w:ind w:firstLine="420" w:firstLineChars="100"/>
      <w:jc w:val="both"/>
    </w:pPr>
    <w:rPr>
      <w:rFonts w:ascii="Arial" w:hAnsi="Arial" w:eastAsia="宋体" w:cs="Times New Roman"/>
      <w:color w:val="000000"/>
      <w:kern w:val="2"/>
      <w:sz w:val="21"/>
      <w:szCs w:val="24"/>
      <w:lang w:val="en-US" w:eastAsia="zh-CN" w:bidi="ar-SA"/>
    </w:rPr>
  </w:style>
  <w:style w:type="character" w:styleId="15">
    <w:name w:val="Strong"/>
    <w:basedOn w:val="14"/>
    <w:qFormat/>
    <w:uiPriority w:val="0"/>
    <w:rPr>
      <w:b/>
    </w:rPr>
  </w:style>
  <w:style w:type="character" w:customStyle="1" w:styleId="16">
    <w:name w:val="标题 1 字符"/>
    <w:link w:val="2"/>
    <w:qFormat/>
    <w:uiPriority w:val="0"/>
    <w:rPr>
      <w:rFonts w:ascii="宋体" w:hAnsi="宋体"/>
      <w:b/>
      <w:bCs/>
      <w:kern w:val="44"/>
      <w:sz w:val="44"/>
      <w:szCs w:val="44"/>
    </w:rPr>
  </w:style>
  <w:style w:type="paragraph" w:customStyle="1" w:styleId="17">
    <w:name w:val="标题 5（有编号）（绿盟科技）"/>
    <w:basedOn w:val="1"/>
    <w:next w:val="18"/>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0">
    <w:name w:val="列出段落1"/>
    <w:basedOn w:val="1"/>
    <w:qFormat/>
    <w:uiPriority w:val="99"/>
    <w:pPr>
      <w:ind w:firstLine="420" w:firstLineChars="200"/>
    </w:pPr>
    <w:rPr>
      <w:rFonts w:ascii="Calibri" w:hAnsi="Calibri"/>
      <w:kern w:val="2"/>
      <w:sz w:val="21"/>
      <w:szCs w:val="22"/>
    </w:rPr>
  </w:style>
  <w:style w:type="paragraph" w:customStyle="1" w:styleId="21">
    <w:name w:val="p0"/>
    <w:basedOn w:val="1"/>
    <w:qFormat/>
    <w:uiPriority w:val="0"/>
    <w:pPr>
      <w:widowControl/>
    </w:pPr>
    <w:rPr>
      <w:rFonts w:ascii="Times New Roman" w:hAnsi="Times New Roman" w:eastAsia="宋体" w:cs="Times New Roman"/>
      <w:kern w:val="0"/>
      <w:szCs w:val="21"/>
    </w:rPr>
  </w:style>
  <w:style w:type="paragraph" w:customStyle="1" w:styleId="22">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kern w:val="0"/>
      <w:sz w:val="28"/>
      <w:szCs w:val="20"/>
    </w:r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4305</Words>
  <Characters>4377</Characters>
  <Lines>0</Lines>
  <Paragraphs>0</Paragraphs>
  <TotalTime>8</TotalTime>
  <ScaleCrop>false</ScaleCrop>
  <LinksUpToDate>false</LinksUpToDate>
  <CharactersWithSpaces>4389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2023-11-21T02:47:00Z</dcterms:created>
  <dc:creator>Wlan</dc:creator>
  <cp:lastModifiedBy></cp:lastModifiedBy>
  <cp:lastPrinted>2025-05-23T05:20:00Z</cp:lastPrinted>
  <dcterms:modified xsi:type="dcterms:W3CDTF">2025-06-18T08:12:47Z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98B4070FBE924E438EA23D1BF4134B2D</vt:lpwstr>
  </property>
  <property fmtid="{D5CDD505-2E9C-101B-9397-08002B2CF9AE}" pid="4" name="KSOTemplateDocerSaveRecord">
    <vt:lpwstr>eyJoZGlkIjoiOTA5MTMyMTIzZmZhNGQwMDhlMzA5MGVkMTg3MDlkOTAiLCJ1c2VySWQiOiI0OTM1MjUzNzAifQ==</vt:lpwstr>
  </property>
</Properties>
</file>